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CellMar>
          <w:left w:w="10" w:type="dxa"/>
          <w:right w:w="10" w:type="dxa"/>
        </w:tblCellMar>
        <w:tblLook w:val="04A0" w:firstRow="1" w:lastRow="0" w:firstColumn="1" w:lastColumn="0" w:noHBand="0" w:noVBand="1"/>
      </w:tblPr>
      <w:tblGrid>
        <w:gridCol w:w="9360"/>
      </w:tblGrid>
      <w:tr w:rsidR="000A530B" w14:paraId="4FD5A203" w14:textId="77777777">
        <w:tc>
          <w:tcPr>
            <w:tcW w:w="9360" w:type="dxa"/>
            <w:shd w:val="clear" w:color="auto" w:fill="1E3A5F"/>
            <w:tcMar>
              <w:top w:w="520" w:type="dxa"/>
              <w:left w:w="460" w:type="dxa"/>
              <w:bottom w:w="520" w:type="dxa"/>
              <w:right w:w="460" w:type="dxa"/>
            </w:tcMar>
          </w:tcPr>
          <w:p w14:paraId="6D94E828" w14:textId="77777777" w:rsidR="000A530B" w:rsidRDefault="00000000">
            <w:pPr>
              <w:spacing w:after="200"/>
            </w:pPr>
            <w:r>
              <w:rPr>
                <w:b/>
                <w:bCs/>
                <w:color w:val="F5A623"/>
                <w:spacing w:val="40"/>
                <w:sz w:val="18"/>
                <w:szCs w:val="18"/>
              </w:rPr>
              <w:t>FIELD SERVICE   ·   APPLIED AI</w:t>
            </w:r>
          </w:p>
          <w:p w14:paraId="049B2B8A" w14:textId="77777777" w:rsidR="000A530B" w:rsidRDefault="00000000">
            <w:pPr>
              <w:spacing w:after="60"/>
            </w:pPr>
            <w:r>
              <w:rPr>
                <w:rFonts w:ascii="Georgia" w:eastAsia="Georgia" w:hAnsi="Georgia" w:cs="Georgia"/>
                <w:b/>
                <w:bCs/>
                <w:color w:val="FFFFFF"/>
                <w:sz w:val="52"/>
                <w:szCs w:val="52"/>
              </w:rPr>
              <w:t>Building a</w:t>
            </w:r>
          </w:p>
          <w:p w14:paraId="4FE1FAEA" w14:textId="77777777" w:rsidR="000A530B" w:rsidRDefault="00000000">
            <w:pPr>
              <w:spacing w:after="240"/>
            </w:pPr>
            <w:r>
              <w:rPr>
                <w:rFonts w:ascii="Georgia" w:eastAsia="Georgia" w:hAnsi="Georgia" w:cs="Georgia"/>
                <w:b/>
                <w:bCs/>
                <w:color w:val="FFFFFF"/>
                <w:sz w:val="52"/>
                <w:szCs w:val="52"/>
              </w:rPr>
              <w:t>Knowledge Spine</w:t>
            </w:r>
          </w:p>
          <w:p w14:paraId="2B63BC2D" w14:textId="77777777" w:rsidR="000A530B" w:rsidRDefault="00000000">
            <w:pPr>
              <w:spacing w:line="300" w:lineRule="auto"/>
            </w:pPr>
            <w:r>
              <w:rPr>
                <w:color w:val="DBE4F1"/>
                <w:sz w:val="24"/>
                <w:szCs w:val="24"/>
              </w:rPr>
              <w:t xml:space="preserve">Voice-to-text, debriefs, and AI-ready knowledge bases that </w:t>
            </w:r>
            <w:proofErr w:type="gramStart"/>
            <w:r>
              <w:rPr>
                <w:color w:val="DBE4F1"/>
                <w:sz w:val="24"/>
                <w:szCs w:val="24"/>
              </w:rPr>
              <w:t>actually get</w:t>
            </w:r>
            <w:proofErr w:type="gramEnd"/>
            <w:r>
              <w:rPr>
                <w:color w:val="DBE4F1"/>
                <w:sz w:val="24"/>
                <w:szCs w:val="24"/>
              </w:rPr>
              <w:t xml:space="preserve"> used — and how field service organizations turn many sources of truth into one validated trunk.</w:t>
            </w:r>
          </w:p>
          <w:p w14:paraId="2C36C3AB" w14:textId="77777777" w:rsidR="000A530B" w:rsidRDefault="000A530B">
            <w:pPr>
              <w:pBdr>
                <w:bottom w:val="single" w:sz="8" w:space="6" w:color="F5A623"/>
              </w:pBdr>
              <w:spacing w:before="300" w:after="140"/>
            </w:pPr>
          </w:p>
          <w:p w14:paraId="4BFD4F3D" w14:textId="77777777" w:rsidR="000A530B" w:rsidRDefault="00000000">
            <w:r>
              <w:rPr>
                <w:color w:val="AEBFD6"/>
                <w:sz w:val="19"/>
                <w:szCs w:val="19"/>
              </w:rPr>
              <w:t>A Blue Cadence field note   ·   Approx. 14-minute read</w:t>
            </w:r>
          </w:p>
        </w:tc>
      </w:tr>
    </w:tbl>
    <w:p w14:paraId="51B53889" w14:textId="77777777" w:rsidR="000A530B" w:rsidRDefault="00000000">
      <w:pPr>
        <w:spacing w:before="460"/>
      </w:pPr>
      <w:r>
        <w:rPr>
          <w:rFonts w:ascii="Georgia" w:eastAsia="Georgia" w:hAnsi="Georgia" w:cs="Georgia"/>
          <w:b/>
          <w:bCs/>
          <w:color w:val="1E3A5F"/>
          <w:sz w:val="28"/>
          <w:szCs w:val="28"/>
        </w:rPr>
        <w:t>Blue Cadence</w:t>
      </w:r>
    </w:p>
    <w:p w14:paraId="3046CBBE" w14:textId="77777777" w:rsidR="000A530B" w:rsidRDefault="00000000">
      <w:r>
        <w:rPr>
          <w:color w:val="6C757D"/>
          <w:sz w:val="19"/>
          <w:szCs w:val="19"/>
        </w:rPr>
        <w:t xml:space="preserve">Technical Support Technology   ·   </w:t>
      </w:r>
      <w:hyperlink r:id="rId7" w:history="1">
        <w:proofErr w:type="gramStart"/>
        <w:r w:rsidR="000A530B">
          <w:rPr>
            <w:color w:val="2B4C8C"/>
            <w:sz w:val="19"/>
            <w:szCs w:val="19"/>
            <w:u w:val="single"/>
          </w:rPr>
          <w:t>bluecadence.tech</w:t>
        </w:r>
        <w:proofErr w:type="gramEnd"/>
      </w:hyperlink>
    </w:p>
    <w:p w14:paraId="2703080C" w14:textId="77777777" w:rsidR="000A530B" w:rsidRDefault="00000000">
      <w:pPr>
        <w:spacing w:before="60"/>
      </w:pPr>
      <w:r>
        <w:rPr>
          <w:i/>
          <w:iCs/>
          <w:color w:val="6C757D"/>
          <w:sz w:val="18"/>
          <w:szCs w:val="18"/>
        </w:rPr>
        <w:t>Published for discussion — vendor-neutral, independent analysis.</w:t>
      </w:r>
    </w:p>
    <w:p w14:paraId="3A588DE6" w14:textId="77777777" w:rsidR="000A530B" w:rsidRDefault="000A530B">
      <w:pPr>
        <w:sectPr w:rsidR="000A530B">
          <w:pgSz w:w="12240" w:h="15840"/>
          <w:pgMar w:top="1440" w:right="1440" w:bottom="1440" w:left="1440" w:header="708" w:footer="708" w:gutter="0"/>
          <w:cols w:space="720"/>
          <w:docGrid w:linePitch="360"/>
        </w:sectPr>
      </w:pPr>
    </w:p>
    <w:p w14:paraId="72488CB7" w14:textId="77777777" w:rsidR="000A530B" w:rsidRDefault="00000000">
      <w:pPr>
        <w:spacing w:after="240"/>
      </w:pPr>
      <w:r>
        <w:rPr>
          <w:rFonts w:ascii="Georgia" w:eastAsia="Georgia" w:hAnsi="Georgia" w:cs="Georgia"/>
          <w:b/>
          <w:bCs/>
          <w:color w:val="1E3A5F"/>
          <w:sz w:val="34"/>
          <w:szCs w:val="34"/>
        </w:rPr>
        <w:lastRenderedPageBreak/>
        <w:t>Contents</w:t>
      </w:r>
    </w:p>
    <w:p w14:paraId="644B325A" w14:textId="77777777" w:rsidR="000A530B" w:rsidRDefault="000A530B">
      <w:pPr>
        <w:tabs>
          <w:tab w:val="right" w:leader="dot" w:pos="9360"/>
        </w:tabs>
        <w:spacing w:after="90"/>
      </w:pPr>
      <w:hyperlink w:anchor="sec01" w:history="1">
        <w:r>
          <w:rPr>
            <w:rFonts w:ascii="Georgia" w:eastAsia="Georgia" w:hAnsi="Georgia" w:cs="Georgia"/>
            <w:b/>
            <w:bCs/>
            <w:color w:val="F5A623"/>
            <w:sz w:val="21"/>
            <w:szCs w:val="21"/>
          </w:rPr>
          <w:t xml:space="preserve">01    </w:t>
        </w:r>
        <w:r>
          <w:rPr>
            <w:sz w:val="21"/>
            <w:szCs w:val="21"/>
          </w:rPr>
          <w:t>The dollar-a-minute problem</w:t>
        </w:r>
        <w:r>
          <w:rPr>
            <w:color w:val="6C757D"/>
            <w:sz w:val="21"/>
            <w:szCs w:val="21"/>
          </w:rPr>
          <w:tab/>
          <w:t>3</w:t>
        </w:r>
      </w:hyperlink>
    </w:p>
    <w:p w14:paraId="33D799DC" w14:textId="419C35A5" w:rsidR="000A530B" w:rsidRDefault="000A530B">
      <w:pPr>
        <w:tabs>
          <w:tab w:val="right" w:leader="dot" w:pos="9360"/>
        </w:tabs>
        <w:spacing w:after="90"/>
      </w:pPr>
      <w:hyperlink w:anchor="sec02" w:history="1">
        <w:r>
          <w:rPr>
            <w:rFonts w:ascii="Georgia" w:eastAsia="Georgia" w:hAnsi="Georgia" w:cs="Georgia"/>
            <w:b/>
            <w:bCs/>
            <w:color w:val="F5A623"/>
            <w:sz w:val="21"/>
            <w:szCs w:val="21"/>
          </w:rPr>
          <w:t xml:space="preserve">02   </w:t>
        </w:r>
        <w:r>
          <w:rPr>
            <w:sz w:val="21"/>
            <w:szCs w:val="21"/>
          </w:rPr>
          <w:t>What a knowledge spine is</w:t>
        </w:r>
        <w:r>
          <w:rPr>
            <w:color w:val="6C757D"/>
            <w:sz w:val="21"/>
            <w:szCs w:val="21"/>
          </w:rPr>
          <w:tab/>
          <w:t>3</w:t>
        </w:r>
      </w:hyperlink>
    </w:p>
    <w:p w14:paraId="71366DBA" w14:textId="348085DD" w:rsidR="000A530B" w:rsidRDefault="000A530B">
      <w:pPr>
        <w:tabs>
          <w:tab w:val="right" w:leader="dot" w:pos="9360"/>
        </w:tabs>
        <w:spacing w:after="90"/>
      </w:pPr>
      <w:hyperlink w:anchor="sec03" w:history="1">
        <w:r>
          <w:rPr>
            <w:rFonts w:ascii="Georgia" w:eastAsia="Georgia" w:hAnsi="Georgia" w:cs="Georgia"/>
            <w:b/>
            <w:bCs/>
            <w:color w:val="F5A623"/>
            <w:sz w:val="21"/>
            <w:szCs w:val="21"/>
          </w:rPr>
          <w:t xml:space="preserve">03   </w:t>
        </w:r>
        <w:r>
          <w:rPr>
            <w:sz w:val="21"/>
            <w:szCs w:val="21"/>
          </w:rPr>
          <w:t>Why now</w:t>
        </w:r>
        <w:r>
          <w:rPr>
            <w:color w:val="6C757D"/>
            <w:sz w:val="21"/>
            <w:szCs w:val="21"/>
          </w:rPr>
          <w:tab/>
          <w:t>4</w:t>
        </w:r>
      </w:hyperlink>
    </w:p>
    <w:p w14:paraId="501C6C7C" w14:textId="1CBDB2C9" w:rsidR="000A530B" w:rsidRDefault="000A530B">
      <w:pPr>
        <w:tabs>
          <w:tab w:val="right" w:leader="dot" w:pos="9360"/>
        </w:tabs>
        <w:spacing w:after="90"/>
      </w:pPr>
      <w:hyperlink w:anchor="sec04" w:history="1">
        <w:r>
          <w:rPr>
            <w:rFonts w:ascii="Georgia" w:eastAsia="Georgia" w:hAnsi="Georgia" w:cs="Georgia"/>
            <w:b/>
            <w:bCs/>
            <w:color w:val="F5A623"/>
            <w:sz w:val="21"/>
            <w:szCs w:val="21"/>
          </w:rPr>
          <w:t xml:space="preserve">04   </w:t>
        </w:r>
        <w:r>
          <w:rPr>
            <w:sz w:val="21"/>
            <w:szCs w:val="21"/>
          </w:rPr>
          <w:t>Pillar I — Voice-to-text</w:t>
        </w:r>
        <w:r>
          <w:rPr>
            <w:color w:val="6C757D"/>
            <w:sz w:val="21"/>
            <w:szCs w:val="21"/>
          </w:rPr>
          <w:tab/>
          <w:t>4</w:t>
        </w:r>
      </w:hyperlink>
    </w:p>
    <w:p w14:paraId="6D7AAAE2" w14:textId="3CAEE616" w:rsidR="000A530B" w:rsidRDefault="000A530B">
      <w:pPr>
        <w:tabs>
          <w:tab w:val="right" w:leader="dot" w:pos="9360"/>
        </w:tabs>
        <w:spacing w:after="90"/>
      </w:pPr>
      <w:hyperlink w:anchor="sec05" w:history="1">
        <w:r>
          <w:rPr>
            <w:rFonts w:ascii="Georgia" w:eastAsia="Georgia" w:hAnsi="Georgia" w:cs="Georgia"/>
            <w:b/>
            <w:bCs/>
            <w:color w:val="F5A623"/>
            <w:sz w:val="21"/>
            <w:szCs w:val="21"/>
          </w:rPr>
          <w:t xml:space="preserve">05   </w:t>
        </w:r>
        <w:r>
          <w:rPr>
            <w:sz w:val="21"/>
            <w:szCs w:val="21"/>
          </w:rPr>
          <w:t>Pillar II — The debrief</w:t>
        </w:r>
        <w:r>
          <w:rPr>
            <w:color w:val="6C757D"/>
            <w:sz w:val="21"/>
            <w:szCs w:val="21"/>
          </w:rPr>
          <w:tab/>
          <w:t>5</w:t>
        </w:r>
      </w:hyperlink>
    </w:p>
    <w:p w14:paraId="15FA9824" w14:textId="519783FA" w:rsidR="000A530B" w:rsidRDefault="000A530B">
      <w:pPr>
        <w:tabs>
          <w:tab w:val="right" w:leader="dot" w:pos="9360"/>
        </w:tabs>
        <w:spacing w:after="90"/>
      </w:pPr>
      <w:hyperlink w:anchor="sec06" w:history="1">
        <w:r>
          <w:rPr>
            <w:rFonts w:ascii="Georgia" w:eastAsia="Georgia" w:hAnsi="Georgia" w:cs="Georgia"/>
            <w:b/>
            <w:bCs/>
            <w:color w:val="F5A623"/>
            <w:sz w:val="21"/>
            <w:szCs w:val="21"/>
          </w:rPr>
          <w:t xml:space="preserve">06   </w:t>
        </w:r>
        <w:r>
          <w:rPr>
            <w:sz w:val="21"/>
            <w:szCs w:val="21"/>
          </w:rPr>
          <w:t>Pillar III — The AI-ready knowledge base</w:t>
        </w:r>
        <w:r>
          <w:rPr>
            <w:color w:val="6C757D"/>
            <w:sz w:val="21"/>
            <w:szCs w:val="21"/>
          </w:rPr>
          <w:tab/>
          <w:t>6</w:t>
        </w:r>
      </w:hyperlink>
    </w:p>
    <w:p w14:paraId="49AB5041" w14:textId="1820F52B" w:rsidR="000A530B" w:rsidRDefault="000A530B">
      <w:pPr>
        <w:tabs>
          <w:tab w:val="right" w:leader="dot" w:pos="9360"/>
        </w:tabs>
        <w:spacing w:after="90"/>
      </w:pPr>
      <w:hyperlink w:anchor="sec07" w:history="1">
        <w:r>
          <w:rPr>
            <w:rFonts w:ascii="Georgia" w:eastAsia="Georgia" w:hAnsi="Georgia" w:cs="Georgia"/>
            <w:b/>
            <w:bCs/>
            <w:color w:val="F5A623"/>
            <w:sz w:val="21"/>
            <w:szCs w:val="21"/>
          </w:rPr>
          <w:t xml:space="preserve">07   </w:t>
        </w:r>
        <w:r>
          <w:rPr>
            <w:sz w:val="21"/>
            <w:szCs w:val="21"/>
          </w:rPr>
          <w:t>The LLM as a communication executive function</w:t>
        </w:r>
        <w:r>
          <w:rPr>
            <w:color w:val="6C757D"/>
            <w:sz w:val="21"/>
            <w:szCs w:val="21"/>
          </w:rPr>
          <w:tab/>
          <w:t>6</w:t>
        </w:r>
      </w:hyperlink>
    </w:p>
    <w:p w14:paraId="4C32A9C6" w14:textId="5B0D95B3" w:rsidR="000A530B" w:rsidRDefault="000A530B">
      <w:pPr>
        <w:tabs>
          <w:tab w:val="right" w:leader="dot" w:pos="9360"/>
        </w:tabs>
        <w:spacing w:after="90"/>
      </w:pPr>
      <w:hyperlink w:anchor="sec08" w:history="1">
        <w:r>
          <w:rPr>
            <w:rFonts w:ascii="Georgia" w:eastAsia="Georgia" w:hAnsi="Georgia" w:cs="Georgia"/>
            <w:b/>
            <w:bCs/>
            <w:color w:val="F5A623"/>
            <w:sz w:val="21"/>
            <w:szCs w:val="21"/>
          </w:rPr>
          <w:t xml:space="preserve">08 </w:t>
        </w:r>
        <w:proofErr w:type="gramStart"/>
        <w:r>
          <w:rPr>
            <w:rFonts w:ascii="Georgia" w:eastAsia="Georgia" w:hAnsi="Georgia" w:cs="Georgia"/>
            <w:b/>
            <w:bCs/>
            <w:color w:val="F5A623"/>
            <w:sz w:val="21"/>
            <w:szCs w:val="21"/>
          </w:rPr>
          <w:t xml:space="preserve"> </w:t>
        </w:r>
        <w:r w:rsidR="00797721">
          <w:rPr>
            <w:rFonts w:ascii="Georgia" w:eastAsia="Georgia" w:hAnsi="Georgia" w:cs="Georgia"/>
            <w:b/>
            <w:bCs/>
            <w:color w:val="F5A623"/>
            <w:sz w:val="21"/>
            <w:szCs w:val="21"/>
          </w:rPr>
          <w:t xml:space="preserve"> </w:t>
        </w:r>
        <w:r>
          <w:rPr>
            <w:sz w:val="21"/>
            <w:szCs w:val="21"/>
          </w:rPr>
          <w:t>The Business</w:t>
        </w:r>
        <w:proofErr w:type="gramEnd"/>
        <w:r>
          <w:rPr>
            <w:sz w:val="21"/>
            <w:szCs w:val="21"/>
          </w:rPr>
          <w:t xml:space="preserve"> Case</w:t>
        </w:r>
        <w:r>
          <w:rPr>
            <w:color w:val="6C757D"/>
            <w:sz w:val="21"/>
            <w:szCs w:val="21"/>
          </w:rPr>
          <w:tab/>
          <w:t>7</w:t>
        </w:r>
      </w:hyperlink>
    </w:p>
    <w:p w14:paraId="4EA7FACE" w14:textId="4DB2CF2D" w:rsidR="000A530B" w:rsidRDefault="000A530B">
      <w:pPr>
        <w:tabs>
          <w:tab w:val="right" w:leader="dot" w:pos="9360"/>
        </w:tabs>
        <w:spacing w:after="90"/>
      </w:pPr>
      <w:hyperlink w:anchor="sec09" w:history="1">
        <w:r>
          <w:rPr>
            <w:rFonts w:ascii="Georgia" w:eastAsia="Georgia" w:hAnsi="Georgia" w:cs="Georgia"/>
            <w:b/>
            <w:bCs/>
            <w:color w:val="F5A623"/>
            <w:sz w:val="21"/>
            <w:szCs w:val="21"/>
          </w:rPr>
          <w:t xml:space="preserve">09   </w:t>
        </w:r>
        <w:r>
          <w:rPr>
            <w:sz w:val="21"/>
            <w:szCs w:val="21"/>
          </w:rPr>
          <w:t>Governance: a spectrum, not a verdict</w:t>
        </w:r>
        <w:r>
          <w:rPr>
            <w:color w:val="6C757D"/>
            <w:sz w:val="21"/>
            <w:szCs w:val="21"/>
          </w:rPr>
          <w:tab/>
          <w:t>7</w:t>
        </w:r>
      </w:hyperlink>
    </w:p>
    <w:p w14:paraId="1D4D7D91" w14:textId="77777777" w:rsidR="000A530B" w:rsidRDefault="000A530B">
      <w:pPr>
        <w:tabs>
          <w:tab w:val="right" w:leader="dot" w:pos="9360"/>
        </w:tabs>
        <w:spacing w:after="90"/>
      </w:pPr>
      <w:hyperlink w:anchor="sec10" w:history="1">
        <w:r>
          <w:rPr>
            <w:rFonts w:ascii="Georgia" w:eastAsia="Georgia" w:hAnsi="Georgia" w:cs="Georgia"/>
            <w:b/>
            <w:bCs/>
            <w:color w:val="F5A623"/>
            <w:sz w:val="21"/>
            <w:szCs w:val="21"/>
          </w:rPr>
          <w:t xml:space="preserve">10    </w:t>
        </w:r>
        <w:r>
          <w:rPr>
            <w:sz w:val="21"/>
            <w:szCs w:val="21"/>
          </w:rPr>
          <w:t>Vendor addendum</w:t>
        </w:r>
        <w:r>
          <w:rPr>
            <w:color w:val="6C757D"/>
            <w:sz w:val="21"/>
            <w:szCs w:val="21"/>
          </w:rPr>
          <w:tab/>
          <w:t>8</w:t>
        </w:r>
      </w:hyperlink>
    </w:p>
    <w:p w14:paraId="40D6D727" w14:textId="77777777" w:rsidR="000A530B" w:rsidRDefault="000A530B">
      <w:pPr>
        <w:tabs>
          <w:tab w:val="right" w:leader="dot" w:pos="9360"/>
        </w:tabs>
        <w:spacing w:after="90"/>
      </w:pPr>
      <w:hyperlink w:anchor="sec11" w:history="1">
        <w:r>
          <w:rPr>
            <w:rFonts w:ascii="Georgia" w:eastAsia="Georgia" w:hAnsi="Georgia" w:cs="Georgia"/>
            <w:b/>
            <w:bCs/>
            <w:color w:val="F5A623"/>
            <w:sz w:val="21"/>
            <w:szCs w:val="21"/>
          </w:rPr>
          <w:t xml:space="preserve">11    </w:t>
        </w:r>
        <w:r>
          <w:rPr>
            <w:sz w:val="21"/>
            <w:szCs w:val="21"/>
          </w:rPr>
          <w:t>The dependency nobody sees</w:t>
        </w:r>
        <w:r>
          <w:rPr>
            <w:color w:val="6C757D"/>
            <w:sz w:val="21"/>
            <w:szCs w:val="21"/>
          </w:rPr>
          <w:tab/>
          <w:t>9</w:t>
        </w:r>
      </w:hyperlink>
    </w:p>
    <w:p w14:paraId="0D08C4D8" w14:textId="77777777" w:rsidR="000A530B" w:rsidRDefault="000A530B">
      <w:pPr>
        <w:tabs>
          <w:tab w:val="right" w:leader="dot" w:pos="9360"/>
        </w:tabs>
        <w:spacing w:after="90"/>
      </w:pPr>
      <w:hyperlink w:anchor="refsHead" w:history="1">
        <w:r>
          <w:rPr>
            <w:sz w:val="21"/>
            <w:szCs w:val="21"/>
          </w:rPr>
          <w:t>References</w:t>
        </w:r>
        <w:r>
          <w:rPr>
            <w:color w:val="6C757D"/>
            <w:sz w:val="21"/>
            <w:szCs w:val="21"/>
          </w:rPr>
          <w:tab/>
          <w:t>10</w:t>
        </w:r>
      </w:hyperlink>
    </w:p>
    <w:p w14:paraId="2474457F" w14:textId="77777777" w:rsidR="000A530B" w:rsidRDefault="00000000">
      <w:r>
        <w:br w:type="page"/>
      </w:r>
    </w:p>
    <w:p w14:paraId="1B9AE75D" w14:textId="6803F118" w:rsidR="000A530B" w:rsidRDefault="00000000">
      <w:pPr>
        <w:pBdr>
          <w:left w:val="single" w:sz="24" w:space="12" w:color="F5A623"/>
        </w:pBdr>
        <w:spacing w:after="240" w:line="300" w:lineRule="auto"/>
        <w:ind w:left="240"/>
      </w:pPr>
      <w:r>
        <w:rPr>
          <w:sz w:val="26"/>
          <w:szCs w:val="26"/>
        </w:rPr>
        <w:lastRenderedPageBreak/>
        <w:t xml:space="preserve">The problem in most service organizations is not that </w:t>
      </w:r>
      <w:proofErr w:type="gramStart"/>
      <w:r>
        <w:rPr>
          <w:sz w:val="26"/>
          <w:szCs w:val="26"/>
        </w:rPr>
        <w:t>the knowledge</w:t>
      </w:r>
      <w:proofErr w:type="gramEnd"/>
      <w:r>
        <w:rPr>
          <w:sz w:val="26"/>
          <w:szCs w:val="26"/>
        </w:rPr>
        <w:t xml:space="preserve"> doesn’t exist. It’s that it doesn’t exist where the technician is working </w:t>
      </w:r>
      <w:r w:rsidR="00360DBB">
        <w:rPr>
          <w:sz w:val="26"/>
          <w:szCs w:val="26"/>
        </w:rPr>
        <w:t>-</w:t>
      </w:r>
      <w:r>
        <w:rPr>
          <w:sz w:val="26"/>
          <w:szCs w:val="26"/>
        </w:rPr>
        <w:t xml:space="preserve"> the same fault gets diagnosed repeatedly, sometimes efficiently, sometimes effectively, and many times neither. Supporting that technician by phone or text today costs roughly one dollar per labor minute when it could cost pennies to serve up the information the technician needs.</w:t>
      </w:r>
    </w:p>
    <w:p w14:paraId="20AAA68A" w14:textId="77777777" w:rsidR="000A530B" w:rsidRDefault="00000000">
      <w:pPr>
        <w:pStyle w:val="Heading1"/>
      </w:pPr>
      <w:bookmarkStart w:id="0" w:name="sec01"/>
      <w:r>
        <w:rPr>
          <w:color w:val="F5A623"/>
          <w:sz w:val="26"/>
          <w:szCs w:val="26"/>
        </w:rPr>
        <w:t xml:space="preserve">01   </w:t>
      </w:r>
      <w:r>
        <w:t>The dollar-a-minute problem</w:t>
      </w:r>
    </w:p>
    <w:p w14:paraId="4DC3C81C" w14:textId="44FE57C2" w:rsidR="000A530B" w:rsidRDefault="00000000">
      <w:pPr>
        <w:spacing w:after="160" w:line="276" w:lineRule="auto"/>
      </w:pPr>
      <w:r>
        <w:t xml:space="preserve">Walk into any service operation and you will find the answer to today’s hardest customer-support need is living somewhere: in a veteran’s head, in a closed ticket from eighteen months ago, in a PDF on SharePoint, in a Slack thread, in the margin notes of a manual revision nobody pushed live. The knowledge is real. It is simply not findable in the moment of work </w:t>
      </w:r>
      <w:r w:rsidR="00360DBB">
        <w:t>-</w:t>
      </w:r>
      <w:r>
        <w:t xml:space="preserve"> and that single gap, finding solutions in the now and delivering them to where the technician is working, is what separates a knowledge base that gets used from an expensive archive that doesn’t.</w:t>
      </w:r>
    </w:p>
    <w:p w14:paraId="6AE0BB0D" w14:textId="77777777" w:rsidR="000A530B" w:rsidRDefault="00000000">
      <w:pPr>
        <w:spacing w:after="160" w:line="276" w:lineRule="auto"/>
      </w:pPr>
      <w:r>
        <w:t>The cost shows up in redundancy: the organization re-solves the same recurring problem repeatedly, and until recently it had no practical way to even notice that this was happening. And the cost is real. A live technical-support contact runs well into the double digits — Harvard Business Review’s work on self-service puts a live interaction at several dollars and up, with B2B technical support at the higher end, while a self-service resolution costs a few cents.</w:t>
      </w:r>
      <w:hyperlink w:anchor="ref6" w:history="1">
        <w:r w:rsidR="000A530B">
          <w:rPr>
            <w:color w:val="2B4C8C"/>
            <w:vertAlign w:val="superscript"/>
          </w:rPr>
          <w:t>6</w:t>
        </w:r>
      </w:hyperlink>
      <w:r>
        <w:t xml:space="preserve"> In the field the multiplier is brutal: a repeat dispatch carries an average truck-roll cost of two to three hundred dollars, and calls not fixed on the first visit require roughly 1.6 additional trips.</w:t>
      </w:r>
      <w:hyperlink w:anchor="ref14" w:history="1">
        <w:r w:rsidR="000A530B">
          <w:rPr>
            <w:color w:val="2B4C8C"/>
            <w:vertAlign w:val="superscript"/>
          </w:rPr>
          <w:t>14</w:t>
        </w:r>
      </w:hyperlink>
    </w:p>
    <w:tbl>
      <w:tblPr>
        <w:tblW w:w="9360" w:type="dxa"/>
        <w:tblBorders>
          <w:insideV w:val="single" w:sz="6" w:space="0" w:color="FFFFFF"/>
        </w:tblBorders>
        <w:tblCellMar>
          <w:left w:w="10" w:type="dxa"/>
          <w:right w:w="10" w:type="dxa"/>
        </w:tblCellMar>
        <w:tblLook w:val="04A0" w:firstRow="1" w:lastRow="0" w:firstColumn="1" w:lastColumn="0" w:noHBand="0" w:noVBand="1"/>
      </w:tblPr>
      <w:tblGrid>
        <w:gridCol w:w="3120"/>
        <w:gridCol w:w="3120"/>
        <w:gridCol w:w="3120"/>
      </w:tblGrid>
      <w:tr w:rsidR="000A530B" w14:paraId="36FCDF6D" w14:textId="77777777">
        <w:tc>
          <w:tcPr>
            <w:tcW w:w="3120" w:type="dxa"/>
            <w:tcBorders>
              <w:top w:val="single" w:sz="18" w:space="0" w:color="F5A623"/>
            </w:tcBorders>
            <w:shd w:val="clear" w:color="auto" w:fill="F8F9FA"/>
            <w:tcMar>
              <w:top w:w="140" w:type="dxa"/>
              <w:left w:w="140" w:type="dxa"/>
              <w:bottom w:w="140" w:type="dxa"/>
              <w:right w:w="140" w:type="dxa"/>
            </w:tcMar>
          </w:tcPr>
          <w:p w14:paraId="4A74DC9B" w14:textId="77777777" w:rsidR="000A530B" w:rsidRDefault="00000000">
            <w:pPr>
              <w:spacing w:after="40"/>
            </w:pPr>
            <w:r>
              <w:rPr>
                <w:rFonts w:ascii="Georgia" w:eastAsia="Georgia" w:hAnsi="Georgia" w:cs="Georgia"/>
                <w:b/>
                <w:bCs/>
                <w:color w:val="1E3A5F"/>
                <w:sz w:val="36"/>
                <w:szCs w:val="36"/>
              </w:rPr>
              <w:t>81%</w:t>
            </w:r>
          </w:p>
          <w:p w14:paraId="003FFBF5" w14:textId="77777777" w:rsidR="000A530B" w:rsidRDefault="00000000">
            <w:r>
              <w:rPr>
                <w:sz w:val="19"/>
                <w:szCs w:val="19"/>
              </w:rPr>
              <w:t>of customers try to solve a problem themselves before contacting a person (HBR)</w:t>
            </w:r>
            <w:hyperlink w:anchor="ref6" w:history="1">
              <w:r w:rsidR="000A530B">
                <w:rPr>
                  <w:color w:val="2B4C8C"/>
                  <w:vertAlign w:val="superscript"/>
                </w:rPr>
                <w:t>6</w:t>
              </w:r>
            </w:hyperlink>
          </w:p>
        </w:tc>
        <w:tc>
          <w:tcPr>
            <w:tcW w:w="3120" w:type="dxa"/>
            <w:tcBorders>
              <w:top w:val="single" w:sz="18" w:space="0" w:color="F5A623"/>
            </w:tcBorders>
            <w:shd w:val="clear" w:color="auto" w:fill="F8F9FA"/>
            <w:tcMar>
              <w:top w:w="140" w:type="dxa"/>
              <w:left w:w="140" w:type="dxa"/>
              <w:bottom w:w="140" w:type="dxa"/>
              <w:right w:w="140" w:type="dxa"/>
            </w:tcMar>
          </w:tcPr>
          <w:p w14:paraId="31B18AB8" w14:textId="77777777" w:rsidR="000A530B" w:rsidRDefault="00000000">
            <w:pPr>
              <w:spacing w:after="40"/>
            </w:pPr>
            <w:r>
              <w:rPr>
                <w:rFonts w:ascii="Georgia" w:eastAsia="Georgia" w:hAnsi="Georgia" w:cs="Georgia"/>
                <w:b/>
                <w:bCs/>
                <w:color w:val="1E3A5F"/>
                <w:sz w:val="36"/>
                <w:szCs w:val="36"/>
              </w:rPr>
              <w:t>~40%</w:t>
            </w:r>
          </w:p>
          <w:p w14:paraId="03238ED7" w14:textId="77777777" w:rsidR="000A530B" w:rsidRDefault="00000000">
            <w:r>
              <w:rPr>
                <w:sz w:val="19"/>
                <w:szCs w:val="19"/>
              </w:rPr>
              <w:t>contact the call center anyway — because self-service failed them (HBR)</w:t>
            </w:r>
            <w:hyperlink w:anchor="ref6" w:history="1">
              <w:r w:rsidR="000A530B">
                <w:rPr>
                  <w:color w:val="2B4C8C"/>
                  <w:vertAlign w:val="superscript"/>
                </w:rPr>
                <w:t>6</w:t>
              </w:r>
            </w:hyperlink>
          </w:p>
        </w:tc>
        <w:tc>
          <w:tcPr>
            <w:tcW w:w="3120" w:type="dxa"/>
            <w:tcBorders>
              <w:top w:val="single" w:sz="18" w:space="0" w:color="F5A623"/>
            </w:tcBorders>
            <w:shd w:val="clear" w:color="auto" w:fill="F8F9FA"/>
            <w:tcMar>
              <w:top w:w="140" w:type="dxa"/>
              <w:left w:w="140" w:type="dxa"/>
              <w:bottom w:w="140" w:type="dxa"/>
              <w:right w:w="140" w:type="dxa"/>
            </w:tcMar>
          </w:tcPr>
          <w:p w14:paraId="062B6F61" w14:textId="77777777" w:rsidR="000A530B" w:rsidRDefault="00000000">
            <w:pPr>
              <w:spacing w:after="40"/>
            </w:pPr>
            <w:r>
              <w:rPr>
                <w:rFonts w:ascii="Georgia" w:eastAsia="Georgia" w:hAnsi="Georgia" w:cs="Georgia"/>
                <w:b/>
                <w:bCs/>
                <w:color w:val="1E3A5F"/>
                <w:sz w:val="36"/>
                <w:szCs w:val="36"/>
              </w:rPr>
              <w:t>$200–300</w:t>
            </w:r>
          </w:p>
          <w:p w14:paraId="4B5C823B" w14:textId="77777777" w:rsidR="000A530B" w:rsidRDefault="00000000">
            <w:r>
              <w:rPr>
                <w:sz w:val="19"/>
                <w:szCs w:val="19"/>
              </w:rPr>
              <w:t>average cost of a single truck roll in the field</w:t>
            </w:r>
            <w:hyperlink w:anchor="ref14" w:history="1">
              <w:r w:rsidR="000A530B">
                <w:rPr>
                  <w:color w:val="2B4C8C"/>
                  <w:vertAlign w:val="superscript"/>
                </w:rPr>
                <w:t>14</w:t>
              </w:r>
            </w:hyperlink>
          </w:p>
        </w:tc>
      </w:tr>
    </w:tbl>
    <w:p w14:paraId="1E142687" w14:textId="77777777" w:rsidR="000A530B" w:rsidRDefault="00000000">
      <w:pPr>
        <w:spacing w:before="160" w:after="160" w:line="276" w:lineRule="auto"/>
      </w:pPr>
      <w:r>
        <w:t xml:space="preserve">That second statistic is the one worth sitting </w:t>
      </w:r>
      <w:proofErr w:type="gramStart"/>
      <w:r>
        <w:t>with</w:t>
      </w:r>
      <w:proofErr w:type="gramEnd"/>
      <w:r>
        <w:t xml:space="preserve">. People </w:t>
      </w:r>
      <w:r>
        <w:rPr>
          <w:i/>
          <w:iCs/>
        </w:rPr>
        <w:t>want</w:t>
      </w:r>
      <w:r>
        <w:t xml:space="preserve"> to </w:t>
      </w:r>
      <w:proofErr w:type="gramStart"/>
      <w:r>
        <w:t>self</w:t>
      </w:r>
      <w:proofErr w:type="gramEnd"/>
      <w:r>
        <w:t xml:space="preserve">-serve; they reach a human only when the documented answer fails them. </w:t>
      </w:r>
      <w:proofErr w:type="gramStart"/>
      <w:r>
        <w:t>The failure</w:t>
      </w:r>
      <w:proofErr w:type="gramEnd"/>
      <w:r>
        <w:t xml:space="preserve"> isn’t a dead end — it’s a signal. Hold that thought; the rest of this document is largely about what to do with it.</w:t>
      </w:r>
    </w:p>
    <w:p w14:paraId="0616B8ED" w14:textId="77777777" w:rsidR="000A530B" w:rsidRDefault="00000000">
      <w:pPr>
        <w:pStyle w:val="Heading1"/>
      </w:pPr>
      <w:bookmarkStart w:id="1" w:name="sec02"/>
      <w:r>
        <w:rPr>
          <w:color w:val="F5A623"/>
          <w:sz w:val="26"/>
          <w:szCs w:val="26"/>
        </w:rPr>
        <w:t xml:space="preserve">02   </w:t>
      </w:r>
      <w:r>
        <w:t>What a knowledge spine is</w:t>
      </w:r>
    </w:p>
    <w:p w14:paraId="30C11232" w14:textId="0547E4AF" w:rsidR="000A530B" w:rsidRDefault="00000000">
      <w:pPr>
        <w:spacing w:after="160" w:line="276" w:lineRule="auto"/>
      </w:pPr>
      <w:r>
        <w:t xml:space="preserve">A knowledge spine is not a folder, a wiki, or a search box. Those are storage. A knowledge spine is an active layer that ingests your </w:t>
      </w:r>
      <w:r>
        <w:rPr>
          <w:i/>
          <w:iCs/>
        </w:rPr>
        <w:t>many</w:t>
      </w:r>
      <w:r>
        <w:t xml:space="preserve"> sources of truth and performs three functions on them </w:t>
      </w:r>
      <w:r w:rsidR="00360DBB">
        <w:t>-</w:t>
      </w:r>
      <w:r>
        <w:t xml:space="preserve"> it </w:t>
      </w:r>
      <w:r>
        <w:rPr>
          <w:b/>
          <w:bCs/>
          <w:color w:val="1E3A5F"/>
        </w:rPr>
        <w:t>validates</w:t>
      </w:r>
      <w:r>
        <w:t xml:space="preserve">, it </w:t>
      </w:r>
      <w:r>
        <w:rPr>
          <w:b/>
          <w:bCs/>
          <w:color w:val="1E3A5F"/>
        </w:rPr>
        <w:t>labels</w:t>
      </w:r>
      <w:r>
        <w:t xml:space="preserve">, and it </w:t>
      </w:r>
      <w:r>
        <w:rPr>
          <w:b/>
          <w:bCs/>
          <w:color w:val="1E3A5F"/>
        </w:rPr>
        <w:t>structures</w:t>
      </w:r>
      <w:r>
        <w:t xml:space="preserve"> </w:t>
      </w:r>
      <w:r w:rsidR="00360DBB">
        <w:t>-</w:t>
      </w:r>
      <w:r>
        <w:t xml:space="preserve"> producing one trunk that the rest of the operation can depend on.</w:t>
      </w:r>
    </w:p>
    <w:p w14:paraId="79E3E78B" w14:textId="77777777" w:rsidR="000A530B" w:rsidRDefault="00000000">
      <w:pPr>
        <w:spacing w:after="160" w:line="276" w:lineRule="auto"/>
      </w:pPr>
      <w:r>
        <w:t xml:space="preserve">Much like the human nervous system, the knowledge spine gathers information from many sources of data, many sources of ground truth. Among them: manuals and documents, experts </w:t>
      </w:r>
      <w:r>
        <w:lastRenderedPageBreak/>
        <w:t xml:space="preserve">and technicians, service systems, IoT and machine data, training and courses, suppliers and partners, and policies and procedures. A knowledge spine plays the same role inside a service organization: many strands in, one resilient line out. </w:t>
      </w:r>
      <w:r>
        <w:rPr>
          <w:i/>
          <w:iCs/>
        </w:rPr>
        <w:t>E pluribus unum</w:t>
      </w:r>
      <w:r>
        <w:t>, applied to truth.</w:t>
      </w:r>
    </w:p>
    <w:p w14:paraId="3736C877" w14:textId="7C6B1176" w:rsidR="000A530B" w:rsidRDefault="00000000">
      <w:pPr>
        <w:spacing w:after="160" w:line="276" w:lineRule="auto"/>
      </w:pPr>
      <w:r>
        <w:t xml:space="preserve">This is precisely the gap the industry is now naming out loud. MIT Technology Review reports that while AI adoption is near-universal, only about one in ten companies has actually </w:t>
      </w:r>
      <w:r>
        <w:rPr>
          <w:i/>
          <w:iCs/>
        </w:rPr>
        <w:t>scaled</w:t>
      </w:r>
      <w:r>
        <w:t xml:space="preserve"> its AI agents </w:t>
      </w:r>
      <w:r w:rsidR="00360DBB">
        <w:t>-</w:t>
      </w:r>
      <w:r>
        <w:t xml:space="preserve"> and the bottleneck is not the models but the data foundation beneath them, with two-thirds of firms citing data silos as a top obstacle and more than half wrestling with a thousand sources or more.</w:t>
      </w:r>
      <w:hyperlink w:anchor="ref1" w:history="1">
        <w:r w:rsidR="000A530B">
          <w:rPr>
            <w:color w:val="2B4C8C"/>
            <w:vertAlign w:val="superscript"/>
          </w:rPr>
          <w:t>1</w:t>
        </w:r>
      </w:hyperlink>
      <w:r>
        <w:t xml:space="preserve"> The emerging answer it describes </w:t>
      </w:r>
      <w:r w:rsidR="00360DBB">
        <w:t>-</w:t>
      </w:r>
      <w:r>
        <w:t xml:space="preserve"> a “data fabric” abstraction layer that lets agents interact with governed business knowledge rather than raw storage</w:t>
      </w:r>
      <w:hyperlink w:anchor="ref2" w:history="1">
        <w:r w:rsidR="000A530B">
          <w:rPr>
            <w:color w:val="2B4C8C"/>
            <w:vertAlign w:val="superscript"/>
          </w:rPr>
          <w:t>2</w:t>
        </w:r>
      </w:hyperlink>
      <w:r>
        <w:t xml:space="preserve"> </w:t>
      </w:r>
      <w:r w:rsidR="00360DBB">
        <w:t>-</w:t>
      </w:r>
      <w:r>
        <w:t xml:space="preserve"> is the same idea in different clothes. The spine is that layer, built for service.</w:t>
      </w:r>
    </w:p>
    <w:p w14:paraId="4BB55891" w14:textId="77777777" w:rsidR="000A530B" w:rsidRDefault="00000000">
      <w:pPr>
        <w:spacing w:before="220" w:after="80"/>
        <w:jc w:val="center"/>
      </w:pPr>
      <w:r>
        <w:rPr>
          <w:noProof/>
        </w:rPr>
        <w:drawing>
          <wp:inline distT="0" distB="0" distL="0" distR="0" wp14:anchorId="2A011646" wp14:editId="06C03547">
            <wp:extent cx="5943600" cy="2867025"/>
            <wp:effectExtent l="0" t="0" r="0" b="0"/>
            <wp:docPr id="1" name="spine" descr="Many sources are validated, labeled and structured into one trunk, served to the moment of work by an LLM intermediary, with the debrief closing a feedback loop." title="The knowledge sp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943600" cy="2867025"/>
                    </a:xfrm>
                    <a:prstGeom prst="rect">
                      <a:avLst/>
                    </a:prstGeom>
                  </pic:spPr>
                </pic:pic>
              </a:graphicData>
            </a:graphic>
          </wp:inline>
        </w:drawing>
      </w:r>
    </w:p>
    <w:p w14:paraId="07139CA1" w14:textId="77777777" w:rsidR="000A530B" w:rsidRDefault="00000000">
      <w:pPr>
        <w:spacing w:after="220"/>
        <w:jc w:val="center"/>
      </w:pPr>
      <w:r>
        <w:rPr>
          <w:i/>
          <w:iCs/>
          <w:color w:val="6C757D"/>
          <w:sz w:val="18"/>
          <w:szCs w:val="18"/>
        </w:rPr>
        <w:t>The spine: many sources in, one validated trunk out, served to the moment of work by an LLM intermediary — with the debrief closing a continuous feedback loop.</w:t>
      </w:r>
    </w:p>
    <w:p w14:paraId="166C79D3" w14:textId="77777777" w:rsidR="000A530B" w:rsidRDefault="00000000">
      <w:pPr>
        <w:pStyle w:val="Heading1"/>
      </w:pPr>
      <w:bookmarkStart w:id="2" w:name="sec03"/>
      <w:r>
        <w:rPr>
          <w:color w:val="F5A623"/>
          <w:sz w:val="26"/>
          <w:szCs w:val="26"/>
        </w:rPr>
        <w:t xml:space="preserve">03   </w:t>
      </w:r>
      <w:r>
        <w:t>Why now</w:t>
      </w:r>
    </w:p>
    <w:p w14:paraId="5A8A4301" w14:textId="6FD1D901" w:rsidR="000A530B" w:rsidRDefault="00000000">
      <w:pPr>
        <w:spacing w:after="160" w:line="276" w:lineRule="auto"/>
      </w:pPr>
      <w:r>
        <w:t>The spine is buildable today in a way it simply wasn’t a few years ago, and the reason is mostly economic. MIT Technology Review notes the cost of inference has fallen by nearly three orders of magnitude in three years while hallucination rates decline.</w:t>
      </w:r>
      <w:hyperlink w:anchor="ref3" w:history="1">
        <w:r w:rsidR="000A530B">
          <w:rPr>
            <w:color w:val="2B4C8C"/>
            <w:vertAlign w:val="superscript"/>
          </w:rPr>
          <w:t>3</w:t>
        </w:r>
      </w:hyperlink>
      <w:r>
        <w:t xml:space="preserve"> What used to be a research budget is now a line item. That collapse changes which sources you can afford to capture </w:t>
      </w:r>
      <w:r w:rsidR="00360DBB">
        <w:t>-</w:t>
      </w:r>
      <w:r>
        <w:t xml:space="preserve"> and the richest, most perishable one has always been the spoken word.</w:t>
      </w:r>
    </w:p>
    <w:p w14:paraId="053975C7" w14:textId="77777777" w:rsidR="000A530B" w:rsidRDefault="00000000">
      <w:pPr>
        <w:pStyle w:val="Heading1"/>
      </w:pPr>
      <w:bookmarkStart w:id="3" w:name="sec04"/>
      <w:r>
        <w:rPr>
          <w:color w:val="F5A623"/>
          <w:sz w:val="26"/>
          <w:szCs w:val="26"/>
        </w:rPr>
        <w:t xml:space="preserve">04   </w:t>
      </w:r>
      <w:r>
        <w:t>Pillar I — Voice-to-text</w:t>
      </w:r>
    </w:p>
    <w:p w14:paraId="086802CD" w14:textId="0191667F" w:rsidR="000A530B" w:rsidRDefault="00000000">
      <w:pPr>
        <w:spacing w:after="160" w:line="276" w:lineRule="auto"/>
      </w:pPr>
      <w:r>
        <w:t xml:space="preserve">Voice leads the title for a reason. The conversation between a technician, the customer, and the support resources behind them is the single richest data source in the entire operation </w:t>
      </w:r>
      <w:r w:rsidR="00360DBB">
        <w:t>-</w:t>
      </w:r>
      <w:r>
        <w:t xml:space="preserve"> and without voice-to-text it is also the one most certain to be lost. It carries three layers at once: </w:t>
      </w:r>
      <w:r>
        <w:rPr>
          <w:b/>
          <w:bCs/>
          <w:color w:val="1E3A5F"/>
        </w:rPr>
        <w:t>technical</w:t>
      </w:r>
      <w:r>
        <w:t xml:space="preserve"> (the actual symptom, the actual fix), </w:t>
      </w:r>
      <w:r>
        <w:rPr>
          <w:b/>
          <w:bCs/>
          <w:color w:val="1E3A5F"/>
        </w:rPr>
        <w:t>business</w:t>
      </w:r>
      <w:r>
        <w:t xml:space="preserve"> (what the asset is costing, what the contract is worth), and </w:t>
      </w:r>
      <w:r>
        <w:rPr>
          <w:b/>
          <w:bCs/>
          <w:color w:val="1E3A5F"/>
        </w:rPr>
        <w:t>relational</w:t>
      </w:r>
      <w:r>
        <w:t xml:space="preserve">. That last one is the executive’s signal: </w:t>
      </w:r>
      <w:r>
        <w:rPr>
          <w:i/>
          <w:iCs/>
        </w:rPr>
        <w:t xml:space="preserve">is this customer locked </w:t>
      </w:r>
      <w:r>
        <w:rPr>
          <w:i/>
          <w:iCs/>
        </w:rPr>
        <w:lastRenderedPageBreak/>
        <w:t>in, or are they quietly shopping for my replacement?</w:t>
      </w:r>
      <w:r>
        <w:t xml:space="preserve"> A structured form captures the technical sliver and discards the rest. The relational read dies in the parking lot the moment the truck pulls away.</w:t>
      </w:r>
    </w:p>
    <w:p w14:paraId="19402C18" w14:textId="77777777" w:rsidR="000A530B" w:rsidRDefault="00000000">
      <w:pPr>
        <w:spacing w:after="160" w:line="276" w:lineRule="auto"/>
      </w:pPr>
      <w:r>
        <w:t xml:space="preserve">Knowledge-management theory has a name for this. Polanyi observed that we know more than we can tell; Nonaka’s model of organizational knowledge creation calls the conversion of that tacit know-how into explicit, shareable form </w:t>
      </w:r>
      <w:r>
        <w:rPr>
          <w:i/>
          <w:iCs/>
        </w:rPr>
        <w:t>externalization</w:t>
      </w:r>
      <w:r>
        <w:t>.</w:t>
      </w:r>
      <w:hyperlink w:anchor="ref17" w:history="1">
        <w:r w:rsidR="000A530B">
          <w:rPr>
            <w:color w:val="2B4C8C"/>
            <w:vertAlign w:val="superscript"/>
          </w:rPr>
          <w:t>17</w:t>
        </w:r>
      </w:hyperlink>
      <w:r>
        <w:t xml:space="preserve"> Voice-to-text is the cheapest externalization mechanism ever invented, because it asks the technician to do nothing but talk.</w:t>
      </w:r>
    </w:p>
    <w:p w14:paraId="4DE86258" w14:textId="77777777" w:rsidR="000A530B" w:rsidRDefault="00000000">
      <w:pPr>
        <w:spacing w:after="160" w:line="276" w:lineRule="auto"/>
      </w:pPr>
      <w:r>
        <w:t>The clearest proof that this works at scale comes from medicine. Ambient AI “scribes” now listen to the clinician–patient conversation and draft a structured note in real time. The Permanente Medical Group enabled the technology for roughly ten thousand physicians; within ten weeks more than three thousand clinicians had used it across some three hundred thousand encounters.</w:t>
      </w:r>
      <w:hyperlink w:anchor="ref13" w:history="1">
        <w:r w:rsidR="000A530B">
          <w:rPr>
            <w:color w:val="2B4C8C"/>
            <w:vertAlign w:val="superscript"/>
          </w:rPr>
          <w:t>13</w:t>
        </w:r>
      </w:hyperlink>
      <w:r>
        <w:t xml:space="preserve"> Field service is the same shape of problem — an expert, a customer, a perishable conversation, and a documentation burden nobody enjoys.</w:t>
      </w:r>
    </w:p>
    <w:tbl>
      <w:tblPr>
        <w:tblW w:w="9360" w:type="dxa"/>
        <w:tblBorders>
          <w:left w:val="single" w:sz="24" w:space="0" w:color="17A589"/>
        </w:tblBorders>
        <w:tblCellMar>
          <w:left w:w="10" w:type="dxa"/>
          <w:right w:w="10" w:type="dxa"/>
        </w:tblCellMar>
        <w:tblLook w:val="04A0" w:firstRow="1" w:lastRow="0" w:firstColumn="1" w:lastColumn="0" w:noHBand="0" w:noVBand="1"/>
      </w:tblPr>
      <w:tblGrid>
        <w:gridCol w:w="9360"/>
      </w:tblGrid>
      <w:tr w:rsidR="000A530B" w14:paraId="2BCE81FA" w14:textId="77777777">
        <w:tc>
          <w:tcPr>
            <w:tcW w:w="9360" w:type="dxa"/>
            <w:shd w:val="clear" w:color="auto" w:fill="F8F9FA"/>
            <w:tcMar>
              <w:top w:w="160" w:type="dxa"/>
              <w:left w:w="220" w:type="dxa"/>
              <w:bottom w:w="160" w:type="dxa"/>
              <w:right w:w="220" w:type="dxa"/>
            </w:tcMar>
          </w:tcPr>
          <w:p w14:paraId="6711AAB3" w14:textId="77777777" w:rsidR="000A530B" w:rsidRDefault="00000000">
            <w:pPr>
              <w:spacing w:line="276" w:lineRule="auto"/>
            </w:pPr>
            <w:r>
              <w:rPr>
                <w:b/>
                <w:bCs/>
                <w:color w:val="1E3A5F"/>
              </w:rPr>
              <w:t xml:space="preserve">A caution that matters. </w:t>
            </w:r>
            <w:r>
              <w:t>The same medical literature reports that when an identical transcript was summarized three times, only about half the clinical data elements came back consistently correct.</w:t>
            </w:r>
            <w:hyperlink w:anchor="ref13" w:history="1">
              <w:r w:rsidR="000A530B">
                <w:rPr>
                  <w:color w:val="2B4C8C"/>
                  <w:vertAlign w:val="superscript"/>
                </w:rPr>
                <w:t>13</w:t>
              </w:r>
            </w:hyperlink>
            <w:r>
              <w:t xml:space="preserve"> Capture is powerful, but raw transcription is not truth. That is exactly why the spine validates — and why the next pillar exists.</w:t>
            </w:r>
          </w:p>
        </w:tc>
      </w:tr>
    </w:tbl>
    <w:p w14:paraId="2C5D0B58" w14:textId="77777777" w:rsidR="000A530B" w:rsidRDefault="00000000">
      <w:pPr>
        <w:pStyle w:val="Heading1"/>
      </w:pPr>
      <w:bookmarkStart w:id="4" w:name="sec05"/>
      <w:r>
        <w:rPr>
          <w:color w:val="F5A623"/>
          <w:sz w:val="26"/>
          <w:szCs w:val="26"/>
        </w:rPr>
        <w:t xml:space="preserve">05   </w:t>
      </w:r>
      <w:r>
        <w:t>Pillar II — The debrief</w:t>
      </w:r>
    </w:p>
    <w:p w14:paraId="0888F94D" w14:textId="77777777" w:rsidR="000A530B" w:rsidRDefault="00000000">
      <w:pPr>
        <w:spacing w:after="160" w:line="276" w:lineRule="auto"/>
      </w:pPr>
      <w:r>
        <w:t>The evidence base for structured reflection is strong — a meta-analysis across forty-six studies found that teams and individuals who debrief outperform those who don’t by around 25%, with the effect largest when the debrief is structured.</w:t>
      </w:r>
      <w:hyperlink w:anchor="ref7" w:history="1">
        <w:r w:rsidR="000A530B">
          <w:rPr>
            <w:color w:val="2B4C8C"/>
            <w:vertAlign w:val="superscript"/>
          </w:rPr>
          <w:t>7</w:t>
        </w:r>
      </w:hyperlink>
      <w:r>
        <w:t xml:space="preserve"> The model worth borrowing is closer to H. P. Howell’s end-of-day examination: </w:t>
      </w:r>
      <w:r>
        <w:rPr>
          <w:i/>
          <w:iCs/>
        </w:rPr>
        <w:t>“What mistakes did I make that time? What did I do that was right — and in what way could I have improved my performance?”</w:t>
      </w:r>
      <w:hyperlink w:anchor="ref19" w:history="1">
        <w:r w:rsidR="000A530B">
          <w:rPr>
            <w:color w:val="2B4C8C"/>
            <w:vertAlign w:val="superscript"/>
          </w:rPr>
          <w:t>19</w:t>
        </w:r>
      </w:hyperlink>
    </w:p>
    <w:p w14:paraId="09D0B9A5" w14:textId="3BFA171A" w:rsidR="000A530B" w:rsidRDefault="00000000">
      <w:pPr>
        <w:spacing w:after="160" w:line="276" w:lineRule="auto"/>
      </w:pPr>
      <w:r>
        <w:t xml:space="preserve">Then comes the move that turns a personal habit into an organizational asset. The technician is asked to grade not only their own performance but </w:t>
      </w:r>
      <w:r>
        <w:rPr>
          <w:i/>
          <w:iCs/>
        </w:rPr>
        <w:t>the knowledge that was served to them</w:t>
      </w:r>
      <w:r>
        <w:t xml:space="preserve">. Did the article hold up against the machine in front of them? Where did it </w:t>
      </w:r>
      <w:proofErr w:type="gramStart"/>
      <w:r w:rsidR="00360DBB">
        <w:t>mis-lead</w:t>
      </w:r>
      <w:proofErr w:type="gramEnd"/>
      <w:r>
        <w:t xml:space="preserve">? That is human-in-the-loop labeling — the same act that makes machine-learning data usable — performed by the people best positioned to judge. It closes the loop, keeps the spine fresh, and lets field reality </w:t>
      </w:r>
      <w:r>
        <w:rPr>
          <w:i/>
          <w:iCs/>
        </w:rPr>
        <w:t>contest</w:t>
      </w:r>
      <w:r>
        <w:t xml:space="preserve"> documented truth instead of passively inheriting it.</w:t>
      </w:r>
    </w:p>
    <w:p w14:paraId="276EAB09" w14:textId="51AFDF3D" w:rsidR="000A530B" w:rsidRDefault="00000000">
      <w:pPr>
        <w:spacing w:after="160" w:line="276" w:lineRule="auto"/>
      </w:pPr>
      <w:r>
        <w:t>This is not a fringe idea; it is where the frontier is heading. MIT Technology Review describes treating enterprise AI as an operating layer in which everyday expert decisions become labeled training data — an organization processing 50,000 cases a week and capturing just three good decision points per case generates 150,000 labeled examples weekly, with no separate data-collection program.</w:t>
      </w:r>
      <w:hyperlink w:anchor="ref4" w:history="1">
        <w:r w:rsidR="000A530B">
          <w:rPr>
            <w:color w:val="2B4C8C"/>
            <w:vertAlign w:val="superscript"/>
          </w:rPr>
          <w:t>4</w:t>
        </w:r>
      </w:hyperlink>
      <w:r>
        <w:t xml:space="preserve"> The debrief is where a service organization mints that currency. It is, in other words, the home of your LLMOps practice </w:t>
      </w:r>
      <w:r w:rsidR="00360DBB">
        <w:t>-</w:t>
      </w:r>
      <w:r>
        <w:t xml:space="preserve"> the place evaluation data is produced continuously rather than commissioned occasionally.</w:t>
      </w:r>
    </w:p>
    <w:p w14:paraId="5BA445AB" w14:textId="77777777" w:rsidR="000A530B" w:rsidRDefault="00000000">
      <w:pPr>
        <w:spacing w:after="160" w:line="276" w:lineRule="auto"/>
      </w:pPr>
      <w:r>
        <w:t xml:space="preserve">The service industry already has a proven methodology that points the same direction. Knowledge-Centered Service — recently rebranded Knowledge-Centered </w:t>
      </w:r>
      <w:r>
        <w:rPr>
          <w:i/>
          <w:iCs/>
        </w:rPr>
        <w:t>Success</w:t>
      </w:r>
      <w:r>
        <w:t xml:space="preserve"> to reflect its </w:t>
      </w:r>
      <w:r>
        <w:lastRenderedPageBreak/>
        <w:t>role in the AI era</w:t>
      </w:r>
      <w:hyperlink w:anchor="ref11" w:history="1">
        <w:r w:rsidR="000A530B">
          <w:rPr>
            <w:color w:val="2B4C8C"/>
            <w:vertAlign w:val="superscript"/>
          </w:rPr>
          <w:t>11</w:t>
        </w:r>
      </w:hyperlink>
      <w:r>
        <w:t xml:space="preserve"> — runs on two interlocking loops: a </w:t>
      </w:r>
      <w:r>
        <w:rPr>
          <w:b/>
          <w:bCs/>
          <w:color w:val="1E3A5F"/>
        </w:rPr>
        <w:t>Solve Loop</w:t>
      </w:r>
      <w:r>
        <w:t xml:space="preserve"> that captures knowledge in the flow of the work, and an </w:t>
      </w:r>
      <w:r>
        <w:rPr>
          <w:b/>
          <w:bCs/>
          <w:color w:val="1E3A5F"/>
        </w:rPr>
        <w:t>Evolve Loop</w:t>
      </w:r>
      <w:r>
        <w:t xml:space="preserve"> that improves it based on real usage patterns.</w:t>
      </w:r>
      <w:hyperlink w:anchor="ref11" w:history="1">
        <w:r w:rsidR="000A530B">
          <w:rPr>
            <w:color w:val="2B4C8C"/>
            <w:vertAlign w:val="superscript"/>
          </w:rPr>
          <w:t>11</w:t>
        </w:r>
      </w:hyperlink>
      <w:r>
        <w:t xml:space="preserve"> The spine’s capture-and-debrief cycle is that double loop, instrumented for an LLM.</w:t>
      </w:r>
    </w:p>
    <w:p w14:paraId="4811A350" w14:textId="77777777" w:rsidR="000A530B" w:rsidRDefault="00000000">
      <w:pPr>
        <w:pStyle w:val="Heading1"/>
      </w:pPr>
      <w:bookmarkStart w:id="5" w:name="sec06"/>
      <w:r>
        <w:rPr>
          <w:color w:val="F5A623"/>
          <w:sz w:val="26"/>
          <w:szCs w:val="26"/>
        </w:rPr>
        <w:t xml:space="preserve">06   </w:t>
      </w:r>
      <w:r>
        <w:t>Pillar III — The AI-ready knowledge base</w:t>
      </w:r>
    </w:p>
    <w:p w14:paraId="67B30702" w14:textId="77777777" w:rsidR="000A530B" w:rsidRDefault="00000000">
      <w:pPr>
        <w:spacing w:after="160" w:line="276" w:lineRule="auto"/>
      </w:pPr>
      <w:r>
        <w:t>Between capture and use sits the structuring work that earns the word “spine.” Two principles do most of the load.</w:t>
      </w:r>
    </w:p>
    <w:p w14:paraId="5A20B47D" w14:textId="77777777" w:rsidR="000A530B" w:rsidRDefault="00000000">
      <w:pPr>
        <w:pStyle w:val="Heading2"/>
      </w:pPr>
      <w:r>
        <w:t>Absorb the variation</w:t>
      </w:r>
    </w:p>
    <w:p w14:paraId="33B8F44E" w14:textId="475DE707" w:rsidR="000A530B" w:rsidRDefault="00000000">
      <w:pPr>
        <w:spacing w:after="160" w:line="276" w:lineRule="auto"/>
      </w:pPr>
      <w:r>
        <w:t xml:space="preserve">A recurring fault </w:t>
      </w:r>
      <w:r w:rsidR="00360DBB">
        <w:t>arrives,</w:t>
      </w:r>
      <w:r>
        <w:t xml:space="preserve"> </w:t>
      </w:r>
      <w:r w:rsidR="00360DBB">
        <w:t>described in</w:t>
      </w:r>
      <w:r>
        <w:t xml:space="preserve"> </w:t>
      </w:r>
      <w:proofErr w:type="gramStart"/>
      <w:r>
        <w:t>many different ways</w:t>
      </w:r>
      <w:proofErr w:type="gramEnd"/>
      <w:r>
        <w:t xml:space="preserve"> and solved along several different paths. The spine’s job is to recognize that these are the </w:t>
      </w:r>
      <w:r>
        <w:rPr>
          <w:i/>
          <w:iCs/>
        </w:rPr>
        <w:t>same</w:t>
      </w:r>
      <w:r>
        <w:t xml:space="preserve"> problem — semantic clustering does this where keyword search fails — and to converge them into one canonical article that captures the best-known resolution while preserving the legitimately context-dependent branches. The discipline here is honesty: variation is not all noise. Some “different way” is a better way, or the right way for a different configuration. Flatten too aggressively and you destroy real signal; absorb too timidly and you are back to twenty contradictory answers.</w:t>
      </w:r>
    </w:p>
    <w:p w14:paraId="59812675" w14:textId="77777777" w:rsidR="000A530B" w:rsidRDefault="00000000">
      <w:pPr>
        <w:pStyle w:val="Heading2"/>
      </w:pPr>
      <w:r>
        <w:t>Codify on a threshold, not on a hunch</w:t>
      </w:r>
    </w:p>
    <w:p w14:paraId="4AAD3357" w14:textId="3255962B" w:rsidR="000A530B" w:rsidRDefault="00000000">
      <w:pPr>
        <w:spacing w:after="160" w:line="276" w:lineRule="auto"/>
      </w:pPr>
      <w:r>
        <w:t xml:space="preserve">Don’t write an article </w:t>
      </w:r>
      <w:r w:rsidR="00360DBB">
        <w:t>about</w:t>
      </w:r>
      <w:r>
        <w:t xml:space="preserve"> a problem you’ve seen once. KCS calls this demand-driven knowledge — “just-in-time review over just-in-case creation.”</w:t>
      </w:r>
      <w:hyperlink w:anchor="ref11" w:history="1">
        <w:r w:rsidR="000A530B">
          <w:rPr>
            <w:color w:val="2B4C8C"/>
            <w:vertAlign w:val="superscript"/>
          </w:rPr>
          <w:t>11</w:t>
        </w:r>
      </w:hyperlink>
      <w:r>
        <w:t xml:space="preserve"> A useful rule of thumb is to solve a recurring problem only a handful of times — say, five — before mining those events into a single source of truth. But “five” is not magic; it is </w:t>
      </w:r>
      <w:proofErr w:type="gramStart"/>
      <w:r>
        <w:t xml:space="preserve">a </w:t>
      </w:r>
      <w:r>
        <w:rPr>
          <w:i/>
          <w:iCs/>
        </w:rPr>
        <w:t>break-even</w:t>
      </w:r>
      <w:proofErr w:type="gramEnd"/>
      <w:r>
        <w:t xml:space="preserve">. You codify when the expected future cost of </w:t>
      </w:r>
      <w:proofErr w:type="gramStart"/>
      <w:r>
        <w:t>re-solving</w:t>
      </w:r>
      <w:proofErr w:type="gramEnd"/>
      <w:r>
        <w:t xml:space="preserve"> the problem by hand (each remote contact at tens of dollars, each failed visit at a few hundred) exceeds the one-time cost to build and maintain the article. The right threshold therefore moves with machine complexity, problem complexity, and the variety in how the problem is described and solved. Engineers will recognize the instinct as the “rule of three” — you tolerate a little duplication, then you refactor.</w:t>
      </w:r>
      <w:hyperlink w:anchor="ref18" w:history="1">
        <w:r w:rsidR="000A530B">
          <w:rPr>
            <w:color w:val="2B4C8C"/>
            <w:vertAlign w:val="superscript"/>
          </w:rPr>
          <w:t>18</w:t>
        </w:r>
      </w:hyperlink>
    </w:p>
    <w:p w14:paraId="71976C77" w14:textId="77777777" w:rsidR="000A530B" w:rsidRDefault="00000000">
      <w:pPr>
        <w:spacing w:after="160" w:line="276" w:lineRule="auto"/>
      </w:pPr>
      <w:r>
        <w:t xml:space="preserve">Why does any of </w:t>
      </w:r>
      <w:proofErr w:type="gramStart"/>
      <w:r>
        <w:t>this</w:t>
      </w:r>
      <w:proofErr w:type="gramEnd"/>
      <w:r>
        <w:t xml:space="preserve"> require an AI-ready base rather than a tidy wiki? Because the failure mode of ungrounded AI is confident wrongness. Retrieval-augmented generation — grounding a model’s answer in retrieved source content rather than its own parameters — is the established mitigation,</w:t>
      </w:r>
      <w:hyperlink w:anchor="ref9" w:history="1">
        <w:r w:rsidR="000A530B">
          <w:rPr>
            <w:color w:val="2B4C8C"/>
            <w:vertAlign w:val="superscript"/>
          </w:rPr>
          <w:t>9</w:t>
        </w:r>
      </w:hyperlink>
      <w:r>
        <w:t xml:space="preserve"> and grounding in the enterprise sense means aligning every answer to a specific, governed knowledge base.</w:t>
      </w:r>
      <w:hyperlink w:anchor="ref10" w:history="1">
        <w:r w:rsidR="000A530B">
          <w:rPr>
            <w:color w:val="2B4C8C"/>
            <w:vertAlign w:val="superscript"/>
          </w:rPr>
          <w:t>10</w:t>
        </w:r>
      </w:hyperlink>
      <w:r>
        <w:t xml:space="preserve"> A spine that validates, labels, and structures is what makes that grounding trustworthy. As one practitioner put it on Substack, multi-agent systems fail in production not because the agents are incapable but because the scaffolding is immature — and the scaffolding’s core is a governed single source of truth that prevents the model from trying to reconcile contradictory noise.</w:t>
      </w:r>
      <w:hyperlink w:anchor="ref16" w:history="1">
        <w:r w:rsidR="000A530B">
          <w:rPr>
            <w:color w:val="2B4C8C"/>
            <w:vertAlign w:val="superscript"/>
          </w:rPr>
          <w:t>16</w:t>
        </w:r>
      </w:hyperlink>
    </w:p>
    <w:p w14:paraId="59290598" w14:textId="77777777" w:rsidR="000A530B" w:rsidRDefault="00000000">
      <w:pPr>
        <w:pStyle w:val="Heading1"/>
      </w:pPr>
      <w:bookmarkStart w:id="6" w:name="sec07"/>
      <w:r>
        <w:rPr>
          <w:color w:val="F5A623"/>
          <w:sz w:val="26"/>
          <w:szCs w:val="26"/>
        </w:rPr>
        <w:t xml:space="preserve">07   </w:t>
      </w:r>
      <w:r>
        <w:t>The LLM as a communication executive function</w:t>
      </w:r>
    </w:p>
    <w:p w14:paraId="15C87582" w14:textId="77777777" w:rsidR="000A530B" w:rsidRDefault="00000000">
      <w:pPr>
        <w:spacing w:after="160" w:line="276" w:lineRule="auto"/>
      </w:pPr>
      <w:r>
        <w:t xml:space="preserve">Here is the distinction that disarms the obvious objection. The win is not a chatbot. The win is a multisource, knowledge-serving </w:t>
      </w:r>
      <w:r>
        <w:rPr>
          <w:i/>
          <w:iCs/>
        </w:rPr>
        <w:t>communication executive function</w:t>
      </w:r>
      <w:r>
        <w:t xml:space="preserve">: an LLM acting as the intermediary between the human and the spine. Crucially, the model is not the source of truth. The spine holds the truth; the LLM decides what to surface, to whom, and how to say it. </w:t>
      </w:r>
      <w:r>
        <w:lastRenderedPageBreak/>
        <w:t>Because it serves validated content rather than authoring facts, the hallucination risk is structurally contained — the model’s job is communication, not authority.</w:t>
      </w:r>
    </w:p>
    <w:p w14:paraId="4650B52C" w14:textId="77777777" w:rsidR="000A530B" w:rsidRDefault="00000000">
      <w:pPr>
        <w:spacing w:after="160" w:line="276" w:lineRule="auto"/>
      </w:pPr>
      <w:r>
        <w:t xml:space="preserve">“Executive function” is borrowed deliberately. In cognitive science the term names the brain’s control system, built on three core capacities: </w:t>
      </w:r>
      <w:r>
        <w:rPr>
          <w:b/>
          <w:bCs/>
          <w:color w:val="1E3A5F"/>
        </w:rPr>
        <w:t>inhibition</w:t>
      </w:r>
      <w:r>
        <w:t xml:space="preserve"> (suppressing the wrong or contradictory response), </w:t>
      </w:r>
      <w:r>
        <w:rPr>
          <w:b/>
          <w:bCs/>
          <w:color w:val="1E3A5F"/>
        </w:rPr>
        <w:t>working memory</w:t>
      </w:r>
      <w:r>
        <w:t xml:space="preserve"> (holding context in play), and </w:t>
      </w:r>
      <w:r>
        <w:rPr>
          <w:b/>
          <w:bCs/>
          <w:color w:val="1E3A5F"/>
        </w:rPr>
        <w:t>cognitive flexibility</w:t>
      </w:r>
      <w:r>
        <w:t xml:space="preserve"> (shifting perspective to fit the situation).</w:t>
      </w:r>
      <w:hyperlink w:anchor="ref8" w:history="1">
        <w:r w:rsidR="000A530B">
          <w:rPr>
            <w:color w:val="2B4C8C"/>
            <w:vertAlign w:val="superscript"/>
          </w:rPr>
          <w:t>8</w:t>
        </w:r>
      </w:hyperlink>
      <w:r>
        <w:t xml:space="preserve"> Map those onto the serving layer and the metaphor does real work: inhibit the stale or conflicting article, hold the technician’s situation and history in context, and adapt the same underlying truth to a hurried voice query in the bay or a careful read at the bench. MIT Technology Review frames the same role as “connective tissue” that moves across systems to retrieve and interpret — the place, it argues, where competitive differentiation will be won.</w:t>
      </w:r>
      <w:hyperlink w:anchor="ref5" w:history="1">
        <w:r w:rsidR="000A530B">
          <w:rPr>
            <w:color w:val="2B4C8C"/>
            <w:vertAlign w:val="superscript"/>
          </w:rPr>
          <w:t>5</w:t>
        </w:r>
      </w:hyperlink>
    </w:p>
    <w:p w14:paraId="214334A0" w14:textId="77777777" w:rsidR="000A530B" w:rsidRDefault="00000000">
      <w:pPr>
        <w:spacing w:before="320" w:after="320"/>
        <w:ind w:left="360" w:right="360"/>
        <w:jc w:val="center"/>
      </w:pPr>
      <w:r>
        <w:rPr>
          <w:rFonts w:ascii="Georgia" w:eastAsia="Georgia" w:hAnsi="Georgia" w:cs="Georgia"/>
          <w:i/>
          <w:iCs/>
          <w:color w:val="2B4C8C"/>
          <w:sz w:val="28"/>
          <w:szCs w:val="28"/>
        </w:rPr>
        <w:t>The spine holds the truth. The model decides what to surface, to whom, and how — nothing more.</w:t>
      </w:r>
    </w:p>
    <w:p w14:paraId="2A469739" w14:textId="77777777" w:rsidR="000A530B" w:rsidRDefault="00000000">
      <w:pPr>
        <w:pStyle w:val="Heading1"/>
      </w:pPr>
      <w:bookmarkStart w:id="7" w:name="sec08"/>
      <w:r>
        <w:rPr>
          <w:color w:val="F5A623"/>
          <w:sz w:val="26"/>
          <w:szCs w:val="26"/>
        </w:rPr>
        <w:t xml:space="preserve">08   </w:t>
      </w:r>
      <w:r>
        <w:t>The business case</w:t>
      </w:r>
    </w:p>
    <w:p w14:paraId="712428EA" w14:textId="36B77E7B" w:rsidR="000A530B" w:rsidRDefault="00000000">
      <w:pPr>
        <w:spacing w:after="160" w:line="276" w:lineRule="auto"/>
      </w:pPr>
      <w:r>
        <w:t>Lead with deflection, because deflection is the lever that quietly moves all the others. Every recurring problem that a validated article resolves without a human is a contact avoided — and the unit economics are not subtle. A live technical conversation costs roughly one dollar a minute (</w:t>
      </w:r>
      <w:proofErr w:type="gramStart"/>
      <w:r>
        <w:t>more or less depending</w:t>
      </w:r>
      <w:proofErr w:type="gramEnd"/>
      <w:r>
        <w:t xml:space="preserve"> on your </w:t>
      </w:r>
      <w:r w:rsidR="00797721">
        <w:t>business model</w:t>
      </w:r>
      <w:r>
        <w:t xml:space="preserve">); serving the article costs pennies; and in the field the avoided </w:t>
      </w:r>
      <w:r>
        <w:rPr>
          <w:i/>
          <w:iCs/>
        </w:rPr>
        <w:t>dispatch</w:t>
      </w:r>
      <w:r>
        <w:t xml:space="preserve"> is worth hundreds.</w:t>
      </w:r>
      <w:hyperlink w:anchor="ref6" w:history="1">
        <w:r w:rsidR="000A530B">
          <w:rPr>
            <w:color w:val="2B4C8C"/>
            <w:vertAlign w:val="superscript"/>
          </w:rPr>
          <w:t>6</w:t>
        </w:r>
      </w:hyperlink>
      <w:r>
        <w:rPr>
          <w:color w:val="2B4C8C"/>
          <w:vertAlign w:val="superscript"/>
        </w:rPr>
        <w:t>,</w:t>
      </w:r>
      <w:hyperlink w:anchor="ref14" w:history="1">
        <w:r w:rsidR="000A530B">
          <w:rPr>
            <w:color w:val="2B4C8C"/>
            <w:vertAlign w:val="superscript"/>
          </w:rPr>
          <w:t>14</w:t>
        </w:r>
      </w:hyperlink>
      <w:r>
        <w:t xml:space="preserve"> Codify a recurring fault once and the cost amortizes across every future self-service resolution.</w:t>
      </w:r>
    </w:p>
    <w:p w14:paraId="13429697" w14:textId="77777777" w:rsidR="000A530B" w:rsidRDefault="00000000">
      <w:pPr>
        <w:spacing w:after="160" w:line="276" w:lineRule="auto"/>
      </w:pPr>
      <w:r>
        <w:t>The field-service benchmarks make the size of the prize concrete. First-time fix rates cluster around 77% industry-wide, with top performers near 88% and laggards as low as 60%; mean time to resolution runs about 4.5 days at the benchmark and as little as 2.5 for the best.</w:t>
      </w:r>
      <w:hyperlink w:anchor="ref15" w:history="1">
        <w:r w:rsidR="000A530B">
          <w:rPr>
            <w:color w:val="2B4C8C"/>
            <w:vertAlign w:val="superscript"/>
          </w:rPr>
          <w:t>15</w:t>
        </w:r>
      </w:hyperlink>
      <w:r>
        <w:t xml:space="preserve"> Roughly one in seven truck rolls is avoidable, and modeling suggests that scaling top-performer behavior across the workforce can cut service costs by double digits — up to 26% in some segments.</w:t>
      </w:r>
      <w:hyperlink w:anchor="ref15" w:history="1">
        <w:r w:rsidR="000A530B">
          <w:rPr>
            <w:color w:val="2B4C8C"/>
            <w:vertAlign w:val="superscript"/>
          </w:rPr>
          <w:t>15</w:t>
        </w:r>
      </w:hyperlink>
      <w:r>
        <w:t xml:space="preserve"> The common thread in that research is blunt: service excellence can’t scale while expertise lives in a few heads.</w:t>
      </w:r>
    </w:p>
    <w:p w14:paraId="7C97E2D0" w14:textId="77777777" w:rsidR="000A530B" w:rsidRDefault="00000000">
      <w:pPr>
        <w:spacing w:after="160" w:line="276" w:lineRule="auto"/>
      </w:pPr>
      <w:r>
        <w:t>And the failures pay too. When self-service doesn’t work and the customer reaches a person anyway — the 40% the HBR data warned about — that escalation is not waste. It is the highest-quality label you can get: a documented case where the canonical answer met reality and lost. Fed back through the debrief, it becomes the next revision. Deflection is therefore both the metric you report and the feedback source that improves the thing being measured.</w:t>
      </w:r>
    </w:p>
    <w:p w14:paraId="69E53C19" w14:textId="77777777" w:rsidR="000A530B" w:rsidRDefault="00000000">
      <w:pPr>
        <w:spacing w:after="160" w:line="276" w:lineRule="auto"/>
      </w:pPr>
      <w:r>
        <w:t>Secondary benefits follow without extra effort. The same spine shortens time-to-competence for new technicians — a direct hedge against the retirement cliff — lifts first-time fix, and, because voice captured the relational signal, gives leadership an early-warning system for the accounts most at risk of churn.</w:t>
      </w:r>
    </w:p>
    <w:p w14:paraId="1A3F72B6" w14:textId="77777777" w:rsidR="000A530B" w:rsidRDefault="00000000">
      <w:pPr>
        <w:pStyle w:val="Heading1"/>
      </w:pPr>
      <w:bookmarkStart w:id="8" w:name="sec09"/>
      <w:r>
        <w:rPr>
          <w:color w:val="F5A623"/>
          <w:sz w:val="26"/>
          <w:szCs w:val="26"/>
        </w:rPr>
        <w:t xml:space="preserve">09   </w:t>
      </w:r>
      <w:r>
        <w:t>Governance: a spectrum, not a verdict</w:t>
      </w:r>
    </w:p>
    <w:p w14:paraId="0F206B9D" w14:textId="77777777" w:rsidR="000A530B" w:rsidRDefault="00000000">
      <w:pPr>
        <w:spacing w:after="160" w:line="276" w:lineRule="auto"/>
      </w:pPr>
      <w:r>
        <w:lastRenderedPageBreak/>
        <w:t xml:space="preserve">If the debrief lets the field challenge the manual, something </w:t>
      </w:r>
      <w:proofErr w:type="gramStart"/>
      <w:r>
        <w:t>has to</w:t>
      </w:r>
      <w:proofErr w:type="gramEnd"/>
      <w:r>
        <w:t xml:space="preserve"> arbitrate. There is no single correct mechanism — only a spectrum, and where you sit on it is a deliberate design choice. At the human-gated end, a contested claim routes to a manager or subject-matter expert who validates it before a technical-writing function publishes the change. At the automated end, corroboration thresholds, confidence scoring, and versioned truth let content evolve with lighter human touch. KCS splits the difference with a useful instinct — an article need only be “sufficient to solve,” and as content is reused it is reviewed more and matures.</w:t>
      </w:r>
      <w:hyperlink w:anchor="ref11" w:history="1">
        <w:r w:rsidR="000A530B">
          <w:rPr>
            <w:color w:val="2B4C8C"/>
            <w:vertAlign w:val="superscript"/>
          </w:rPr>
          <w:t>11</w:t>
        </w:r>
      </w:hyperlink>
    </w:p>
    <w:p w14:paraId="69CD220D" w14:textId="77777777" w:rsidR="000A530B" w:rsidRDefault="00000000">
      <w:pPr>
        <w:spacing w:after="160" w:line="276" w:lineRule="auto"/>
      </w:pPr>
      <w:r>
        <w:t xml:space="preserve">Whatever the blend, the governance layer is where validation </w:t>
      </w:r>
      <w:proofErr w:type="gramStart"/>
      <w:r>
        <w:t>actually happens</w:t>
      </w:r>
      <w:proofErr w:type="gramEnd"/>
      <w:r>
        <w:t>, and it deserves real tooling. Note that some knowledge platforms now ship continuous evaluation — scoring every AI answer for accuracy and flagging regressions when content changes</w:t>
      </w:r>
      <w:hyperlink w:anchor="ref12" w:history="1">
        <w:r w:rsidR="000A530B">
          <w:rPr>
            <w:color w:val="2B4C8C"/>
            <w:vertAlign w:val="superscript"/>
          </w:rPr>
          <w:t>12</w:t>
        </w:r>
      </w:hyperlink>
      <w:r>
        <w:t xml:space="preserve"> — which is the same LLMOps discipline applied at the structuring layer rather than the field. Pick your point on the spectrum consciously; don’t let it default.</w:t>
      </w:r>
    </w:p>
    <w:p w14:paraId="7DA03984" w14:textId="77777777" w:rsidR="000A530B" w:rsidRDefault="000A530B">
      <w:pPr>
        <w:pBdr>
          <w:bottom w:val="single" w:sz="6" w:space="1" w:color="E3E8EF"/>
        </w:pBdr>
        <w:spacing w:before="260" w:after="60"/>
      </w:pPr>
    </w:p>
    <w:p w14:paraId="06CB7345" w14:textId="77777777" w:rsidR="000A530B" w:rsidRDefault="00000000">
      <w:pPr>
        <w:pStyle w:val="Heading1"/>
      </w:pPr>
      <w:bookmarkStart w:id="9" w:name="sec10"/>
      <w:r>
        <w:rPr>
          <w:color w:val="F5A623"/>
          <w:sz w:val="26"/>
          <w:szCs w:val="26"/>
        </w:rPr>
        <w:t xml:space="preserve">10   </w:t>
      </w:r>
      <w:r>
        <w:t>Vendor addendum</w:t>
      </w:r>
    </w:p>
    <w:p w14:paraId="4611CA59" w14:textId="77777777" w:rsidR="000A530B" w:rsidRDefault="00000000">
      <w:pPr>
        <w:spacing w:after="160" w:line="276" w:lineRule="auto"/>
      </w:pPr>
      <w:r>
        <w:t xml:space="preserve">The market addresses the spine from two directions: platforms built to </w:t>
      </w:r>
      <w:r>
        <w:rPr>
          <w:i/>
          <w:iCs/>
        </w:rPr>
        <w:t>structure and govern knowledge</w:t>
      </w:r>
      <w:r>
        <w:t xml:space="preserve">, and platforms built to </w:t>
      </w:r>
      <w:r>
        <w:rPr>
          <w:i/>
          <w:iCs/>
        </w:rPr>
        <w:t>run service end-to-end</w:t>
      </w:r>
      <w:r>
        <w:t xml:space="preserve"> with intelligence layered in. The tables below are illustrative, not exhaustive, and represent no endorsement; capabilities and pricing change quickly, so verify current offerings directly. Capture specialists — ambient transcription, conversation intelligence, and AR/visual-guidance tools — feed both tiers and are noted at the end.</w:t>
      </w:r>
    </w:p>
    <w:p w14:paraId="338C9F96" w14:textId="77777777" w:rsidR="000A530B" w:rsidRDefault="00000000">
      <w:pPr>
        <w:spacing w:before="260" w:after="100"/>
      </w:pPr>
      <w:r>
        <w:rPr>
          <w:b/>
          <w:bCs/>
          <w:color w:val="17A589"/>
          <w:spacing w:val="20"/>
          <w:sz w:val="18"/>
          <w:szCs w:val="18"/>
        </w:rPr>
        <w:t>TIER A — KNOWLEDGE MANAGEMENT / KCS / AI-READY CONTENT TOOLING</w:t>
      </w:r>
    </w:p>
    <w:tbl>
      <w:tblPr>
        <w:tblW w:w="9360" w:type="dxa"/>
        <w:tblBorders>
          <w:top w:val="single" w:sz="2" w:space="0" w:color="E3E8EF"/>
          <w:left w:val="single" w:sz="2" w:space="0" w:color="E3E8EF"/>
          <w:bottom w:val="single" w:sz="2" w:space="0" w:color="E3E8EF"/>
          <w:right w:val="single" w:sz="2" w:space="0" w:color="E3E8EF"/>
          <w:insideH w:val="single" w:sz="2" w:space="0" w:color="E3E8EF"/>
          <w:insideV w:val="single" w:sz="2" w:space="0" w:color="E3E8EF"/>
        </w:tblBorders>
        <w:tblCellMar>
          <w:left w:w="10" w:type="dxa"/>
          <w:right w:w="10" w:type="dxa"/>
        </w:tblCellMar>
        <w:tblLook w:val="04A0" w:firstRow="1" w:lastRow="0" w:firstColumn="1" w:lastColumn="0" w:noHBand="0" w:noVBand="1"/>
      </w:tblPr>
      <w:tblGrid>
        <w:gridCol w:w="2060"/>
        <w:gridCol w:w="2640"/>
        <w:gridCol w:w="4660"/>
      </w:tblGrid>
      <w:tr w:rsidR="000A530B" w14:paraId="1D2DD7DA" w14:textId="77777777">
        <w:tc>
          <w:tcPr>
            <w:tcW w:w="9360" w:type="dxa"/>
            <w:gridSpan w:val="3"/>
            <w:tcMar>
              <w:top w:w="40" w:type="dxa"/>
              <w:left w:w="0" w:type="dxa"/>
              <w:bottom w:w="100" w:type="dxa"/>
              <w:right w:w="0" w:type="dxa"/>
            </w:tcMar>
          </w:tcPr>
          <w:p w14:paraId="34D2FC82" w14:textId="77777777" w:rsidR="000A530B" w:rsidRDefault="00000000">
            <w:r>
              <w:rPr>
                <w:rFonts w:ascii="Georgia" w:eastAsia="Georgia" w:hAnsi="Georgia" w:cs="Georgia"/>
                <w:i/>
                <w:iCs/>
                <w:color w:val="2B4C8C"/>
              </w:rPr>
              <w:t>Built to validate, label, and structure knowledge</w:t>
            </w:r>
          </w:p>
        </w:tc>
      </w:tr>
      <w:tr w:rsidR="000A530B" w14:paraId="7BAF8131" w14:textId="77777777">
        <w:trPr>
          <w:tblHeader/>
        </w:trPr>
        <w:tc>
          <w:tcPr>
            <w:tcW w:w="2060" w:type="dxa"/>
            <w:shd w:val="clear" w:color="auto" w:fill="1E3A5F"/>
            <w:tcMar>
              <w:top w:w="90" w:type="dxa"/>
              <w:left w:w="130" w:type="dxa"/>
              <w:bottom w:w="90" w:type="dxa"/>
              <w:right w:w="130" w:type="dxa"/>
            </w:tcMar>
          </w:tcPr>
          <w:p w14:paraId="02BE8AC2" w14:textId="77777777" w:rsidR="000A530B" w:rsidRDefault="00000000">
            <w:r>
              <w:rPr>
                <w:b/>
                <w:bCs/>
                <w:color w:val="FFFFFF"/>
                <w:sz w:val="20"/>
                <w:szCs w:val="20"/>
              </w:rPr>
              <w:t>Vendor</w:t>
            </w:r>
          </w:p>
        </w:tc>
        <w:tc>
          <w:tcPr>
            <w:tcW w:w="2640" w:type="dxa"/>
            <w:shd w:val="clear" w:color="auto" w:fill="1E3A5F"/>
            <w:tcMar>
              <w:top w:w="90" w:type="dxa"/>
              <w:left w:w="130" w:type="dxa"/>
              <w:bottom w:w="90" w:type="dxa"/>
              <w:right w:w="130" w:type="dxa"/>
            </w:tcMar>
          </w:tcPr>
          <w:p w14:paraId="62DDEFAB" w14:textId="77777777" w:rsidR="000A530B" w:rsidRDefault="00000000">
            <w:r>
              <w:rPr>
                <w:b/>
                <w:bCs/>
                <w:color w:val="FFFFFF"/>
                <w:sz w:val="20"/>
                <w:szCs w:val="20"/>
              </w:rPr>
              <w:t>Spine layer served</w:t>
            </w:r>
          </w:p>
        </w:tc>
        <w:tc>
          <w:tcPr>
            <w:tcW w:w="4660" w:type="dxa"/>
            <w:shd w:val="clear" w:color="auto" w:fill="1E3A5F"/>
            <w:tcMar>
              <w:top w:w="90" w:type="dxa"/>
              <w:left w:w="130" w:type="dxa"/>
              <w:bottom w:w="90" w:type="dxa"/>
              <w:right w:w="130" w:type="dxa"/>
            </w:tcMar>
          </w:tcPr>
          <w:p w14:paraId="77405FFE" w14:textId="77777777" w:rsidR="000A530B" w:rsidRDefault="00000000">
            <w:r>
              <w:rPr>
                <w:b/>
                <w:bCs/>
                <w:color w:val="FFFFFF"/>
                <w:sz w:val="20"/>
                <w:szCs w:val="20"/>
              </w:rPr>
              <w:t>How they deliver it</w:t>
            </w:r>
          </w:p>
        </w:tc>
      </w:tr>
      <w:tr w:rsidR="000A530B" w14:paraId="7B873F5B" w14:textId="77777777">
        <w:tc>
          <w:tcPr>
            <w:tcW w:w="2060" w:type="dxa"/>
            <w:tcMar>
              <w:top w:w="90" w:type="dxa"/>
              <w:left w:w="130" w:type="dxa"/>
              <w:bottom w:w="90" w:type="dxa"/>
              <w:right w:w="130" w:type="dxa"/>
            </w:tcMar>
          </w:tcPr>
          <w:p w14:paraId="16FC20A0" w14:textId="77777777" w:rsidR="000A530B" w:rsidRDefault="00000000">
            <w:pPr>
              <w:spacing w:line="248" w:lineRule="auto"/>
            </w:pPr>
            <w:proofErr w:type="spellStart"/>
            <w:r>
              <w:rPr>
                <w:b/>
                <w:bCs/>
                <w:color w:val="1E3A5F"/>
                <w:sz w:val="19"/>
                <w:szCs w:val="19"/>
              </w:rPr>
              <w:t>eGain</w:t>
            </w:r>
            <w:proofErr w:type="spellEnd"/>
            <w:r>
              <w:rPr>
                <w:b/>
                <w:bCs/>
                <w:color w:val="1E3A5F"/>
                <w:sz w:val="19"/>
                <w:szCs w:val="19"/>
              </w:rPr>
              <w:t xml:space="preserve"> AI Knowledge Hub</w:t>
            </w:r>
          </w:p>
        </w:tc>
        <w:tc>
          <w:tcPr>
            <w:tcW w:w="2640" w:type="dxa"/>
            <w:tcMar>
              <w:top w:w="90" w:type="dxa"/>
              <w:left w:w="130" w:type="dxa"/>
              <w:bottom w:w="90" w:type="dxa"/>
              <w:right w:w="130" w:type="dxa"/>
            </w:tcMar>
          </w:tcPr>
          <w:p w14:paraId="617C5C49" w14:textId="77777777" w:rsidR="000A530B" w:rsidRDefault="00000000">
            <w:pPr>
              <w:spacing w:line="248" w:lineRule="auto"/>
            </w:pPr>
            <w:r>
              <w:rPr>
                <w:sz w:val="19"/>
                <w:szCs w:val="19"/>
              </w:rPr>
              <w:t>Validate &amp; structure; serve; LLMOps</w:t>
            </w:r>
          </w:p>
        </w:tc>
        <w:tc>
          <w:tcPr>
            <w:tcW w:w="4660" w:type="dxa"/>
            <w:tcMar>
              <w:top w:w="90" w:type="dxa"/>
              <w:left w:w="130" w:type="dxa"/>
              <w:bottom w:w="90" w:type="dxa"/>
              <w:right w:w="130" w:type="dxa"/>
            </w:tcMar>
          </w:tcPr>
          <w:p w14:paraId="7AED4544" w14:textId="77777777" w:rsidR="000A530B" w:rsidRDefault="00000000">
            <w:pPr>
              <w:spacing w:line="248" w:lineRule="auto"/>
            </w:pPr>
            <w:r>
              <w:rPr>
                <w:sz w:val="19"/>
                <w:szCs w:val="19"/>
              </w:rPr>
              <w:t>KCS-verified knowledge platform; connectors unify content from CRM, SharePoint and other repositories without migration; an AI agent surfaces confidence-ranked answers in the workflow; a built-in evaluator scores every AI response and flags regressions when content changes.</w:t>
            </w:r>
            <w:hyperlink w:anchor="ref12" w:history="1">
              <w:r w:rsidR="000A530B">
                <w:rPr>
                  <w:color w:val="2B4C8C"/>
                  <w:sz w:val="19"/>
                  <w:szCs w:val="19"/>
                  <w:vertAlign w:val="superscript"/>
                </w:rPr>
                <w:t>12</w:t>
              </w:r>
            </w:hyperlink>
          </w:p>
        </w:tc>
      </w:tr>
      <w:tr w:rsidR="000A530B" w14:paraId="667B94A6" w14:textId="77777777">
        <w:tc>
          <w:tcPr>
            <w:tcW w:w="2060" w:type="dxa"/>
            <w:shd w:val="clear" w:color="auto" w:fill="F8F9FA"/>
            <w:tcMar>
              <w:top w:w="90" w:type="dxa"/>
              <w:left w:w="130" w:type="dxa"/>
              <w:bottom w:w="90" w:type="dxa"/>
              <w:right w:w="130" w:type="dxa"/>
            </w:tcMar>
          </w:tcPr>
          <w:p w14:paraId="0E96776E" w14:textId="77777777" w:rsidR="000A530B" w:rsidRDefault="00000000">
            <w:pPr>
              <w:spacing w:line="248" w:lineRule="auto"/>
            </w:pPr>
            <w:proofErr w:type="spellStart"/>
            <w:r>
              <w:rPr>
                <w:b/>
                <w:bCs/>
                <w:color w:val="1E3A5F"/>
                <w:sz w:val="19"/>
                <w:szCs w:val="19"/>
              </w:rPr>
              <w:t>Coveo</w:t>
            </w:r>
            <w:proofErr w:type="spellEnd"/>
          </w:p>
        </w:tc>
        <w:tc>
          <w:tcPr>
            <w:tcW w:w="2640" w:type="dxa"/>
            <w:shd w:val="clear" w:color="auto" w:fill="F8F9FA"/>
            <w:tcMar>
              <w:top w:w="90" w:type="dxa"/>
              <w:left w:w="130" w:type="dxa"/>
              <w:bottom w:w="90" w:type="dxa"/>
              <w:right w:w="130" w:type="dxa"/>
            </w:tcMar>
          </w:tcPr>
          <w:p w14:paraId="3D7063B2" w14:textId="77777777" w:rsidR="000A530B" w:rsidRDefault="00000000">
            <w:pPr>
              <w:spacing w:line="248" w:lineRule="auto"/>
            </w:pPr>
            <w:r>
              <w:rPr>
                <w:sz w:val="19"/>
                <w:szCs w:val="19"/>
              </w:rPr>
              <w:t>Structure &amp; serve (retrieval)</w:t>
            </w:r>
          </w:p>
        </w:tc>
        <w:tc>
          <w:tcPr>
            <w:tcW w:w="4660" w:type="dxa"/>
            <w:shd w:val="clear" w:color="auto" w:fill="F8F9FA"/>
            <w:tcMar>
              <w:top w:w="90" w:type="dxa"/>
              <w:left w:w="130" w:type="dxa"/>
              <w:bottom w:w="90" w:type="dxa"/>
              <w:right w:w="130" w:type="dxa"/>
            </w:tcMar>
          </w:tcPr>
          <w:p w14:paraId="1BAD6800" w14:textId="77777777" w:rsidR="000A530B" w:rsidRDefault="00000000">
            <w:pPr>
              <w:spacing w:line="248" w:lineRule="auto"/>
            </w:pPr>
            <w:r>
              <w:rPr>
                <w:sz w:val="19"/>
                <w:szCs w:val="19"/>
              </w:rPr>
              <w:t>AI search and relevance layer that unifies and ranks content across many repositories and grounds generative answers — a retrieval backbone for enterprise knowledge.</w:t>
            </w:r>
          </w:p>
        </w:tc>
      </w:tr>
      <w:tr w:rsidR="000A530B" w14:paraId="492CDF48" w14:textId="77777777">
        <w:tc>
          <w:tcPr>
            <w:tcW w:w="2060" w:type="dxa"/>
            <w:tcMar>
              <w:top w:w="90" w:type="dxa"/>
              <w:left w:w="130" w:type="dxa"/>
              <w:bottom w:w="90" w:type="dxa"/>
              <w:right w:w="130" w:type="dxa"/>
            </w:tcMar>
          </w:tcPr>
          <w:p w14:paraId="2E029D8A" w14:textId="77777777" w:rsidR="000A530B" w:rsidRDefault="00000000">
            <w:pPr>
              <w:spacing w:line="248" w:lineRule="auto"/>
            </w:pPr>
            <w:proofErr w:type="spellStart"/>
            <w:r>
              <w:rPr>
                <w:b/>
                <w:bCs/>
                <w:color w:val="1E3A5F"/>
                <w:sz w:val="19"/>
                <w:szCs w:val="19"/>
              </w:rPr>
              <w:t>Stonly</w:t>
            </w:r>
            <w:proofErr w:type="spellEnd"/>
          </w:p>
        </w:tc>
        <w:tc>
          <w:tcPr>
            <w:tcW w:w="2640" w:type="dxa"/>
            <w:tcMar>
              <w:top w:w="90" w:type="dxa"/>
              <w:left w:w="130" w:type="dxa"/>
              <w:bottom w:w="90" w:type="dxa"/>
              <w:right w:w="130" w:type="dxa"/>
            </w:tcMar>
          </w:tcPr>
          <w:p w14:paraId="35628CED" w14:textId="77777777" w:rsidR="000A530B" w:rsidRDefault="00000000">
            <w:pPr>
              <w:spacing w:line="248" w:lineRule="auto"/>
            </w:pPr>
            <w:r>
              <w:rPr>
                <w:sz w:val="19"/>
                <w:szCs w:val="19"/>
              </w:rPr>
              <w:t>Structure &amp; serve (guided)</w:t>
            </w:r>
          </w:p>
        </w:tc>
        <w:tc>
          <w:tcPr>
            <w:tcW w:w="4660" w:type="dxa"/>
            <w:tcMar>
              <w:top w:w="90" w:type="dxa"/>
              <w:left w:w="130" w:type="dxa"/>
              <w:bottom w:w="90" w:type="dxa"/>
              <w:right w:w="130" w:type="dxa"/>
            </w:tcMar>
          </w:tcPr>
          <w:p w14:paraId="20C5391D" w14:textId="77777777" w:rsidR="000A530B" w:rsidRDefault="00000000">
            <w:pPr>
              <w:spacing w:line="248" w:lineRule="auto"/>
            </w:pPr>
            <w:r>
              <w:rPr>
                <w:sz w:val="19"/>
                <w:szCs w:val="19"/>
              </w:rPr>
              <w:t>Interactive, branching step-by-step guides that adapt to the user’s answers; oriented to deflection and guided troubleshooting embedded in-product rather than static articles.</w:t>
            </w:r>
          </w:p>
        </w:tc>
      </w:tr>
      <w:tr w:rsidR="000A530B" w14:paraId="3F39F839" w14:textId="77777777">
        <w:tc>
          <w:tcPr>
            <w:tcW w:w="2060" w:type="dxa"/>
            <w:shd w:val="clear" w:color="auto" w:fill="F8F9FA"/>
            <w:tcMar>
              <w:top w:w="90" w:type="dxa"/>
              <w:left w:w="130" w:type="dxa"/>
              <w:bottom w:w="90" w:type="dxa"/>
              <w:right w:w="130" w:type="dxa"/>
            </w:tcMar>
          </w:tcPr>
          <w:p w14:paraId="597EAD83" w14:textId="77777777" w:rsidR="000A530B" w:rsidRDefault="00000000">
            <w:pPr>
              <w:spacing w:line="248" w:lineRule="auto"/>
            </w:pPr>
            <w:proofErr w:type="spellStart"/>
            <w:r>
              <w:rPr>
                <w:b/>
                <w:bCs/>
                <w:color w:val="1E3A5F"/>
                <w:sz w:val="19"/>
                <w:szCs w:val="19"/>
              </w:rPr>
              <w:t>Bloomfire</w:t>
            </w:r>
            <w:proofErr w:type="spellEnd"/>
          </w:p>
        </w:tc>
        <w:tc>
          <w:tcPr>
            <w:tcW w:w="2640" w:type="dxa"/>
            <w:shd w:val="clear" w:color="auto" w:fill="F8F9FA"/>
            <w:tcMar>
              <w:top w:w="90" w:type="dxa"/>
              <w:left w:w="130" w:type="dxa"/>
              <w:bottom w:w="90" w:type="dxa"/>
              <w:right w:w="130" w:type="dxa"/>
            </w:tcMar>
          </w:tcPr>
          <w:p w14:paraId="6BD36B0E" w14:textId="77777777" w:rsidR="000A530B" w:rsidRDefault="00000000">
            <w:pPr>
              <w:spacing w:line="248" w:lineRule="auto"/>
            </w:pPr>
            <w:r>
              <w:rPr>
                <w:sz w:val="19"/>
                <w:szCs w:val="19"/>
              </w:rPr>
              <w:t>Capture &amp; structure</w:t>
            </w:r>
          </w:p>
        </w:tc>
        <w:tc>
          <w:tcPr>
            <w:tcW w:w="4660" w:type="dxa"/>
            <w:shd w:val="clear" w:color="auto" w:fill="F8F9FA"/>
            <w:tcMar>
              <w:top w:w="90" w:type="dxa"/>
              <w:left w:w="130" w:type="dxa"/>
              <w:bottom w:w="90" w:type="dxa"/>
              <w:right w:w="130" w:type="dxa"/>
            </w:tcMar>
          </w:tcPr>
          <w:p w14:paraId="28BEEA94" w14:textId="77777777" w:rsidR="000A530B" w:rsidRDefault="00000000">
            <w:pPr>
              <w:spacing w:line="248" w:lineRule="auto"/>
            </w:pPr>
            <w:r>
              <w:rPr>
                <w:sz w:val="19"/>
                <w:szCs w:val="19"/>
              </w:rPr>
              <w:t xml:space="preserve">Knowledge-management / enterprise-intelligence platform emphasizing searchable shared knowledge </w:t>
            </w:r>
            <w:r>
              <w:rPr>
                <w:sz w:val="19"/>
                <w:szCs w:val="19"/>
              </w:rPr>
              <w:lastRenderedPageBreak/>
              <w:t>and the capture of tacit, communities-of-practice expertise.</w:t>
            </w:r>
          </w:p>
        </w:tc>
      </w:tr>
      <w:tr w:rsidR="000A530B" w14:paraId="1FB055A3" w14:textId="77777777">
        <w:tc>
          <w:tcPr>
            <w:tcW w:w="2060" w:type="dxa"/>
            <w:tcMar>
              <w:top w:w="90" w:type="dxa"/>
              <w:left w:w="130" w:type="dxa"/>
              <w:bottom w:w="90" w:type="dxa"/>
              <w:right w:w="130" w:type="dxa"/>
            </w:tcMar>
          </w:tcPr>
          <w:p w14:paraId="2DF46EFC" w14:textId="77777777" w:rsidR="000A530B" w:rsidRDefault="00000000">
            <w:pPr>
              <w:spacing w:line="248" w:lineRule="auto"/>
            </w:pPr>
            <w:r>
              <w:rPr>
                <w:b/>
                <w:bCs/>
                <w:color w:val="1E3A5F"/>
                <w:sz w:val="19"/>
                <w:szCs w:val="19"/>
              </w:rPr>
              <w:lastRenderedPageBreak/>
              <w:t>Guru</w:t>
            </w:r>
          </w:p>
        </w:tc>
        <w:tc>
          <w:tcPr>
            <w:tcW w:w="2640" w:type="dxa"/>
            <w:tcMar>
              <w:top w:w="90" w:type="dxa"/>
              <w:left w:w="130" w:type="dxa"/>
              <w:bottom w:w="90" w:type="dxa"/>
              <w:right w:w="130" w:type="dxa"/>
            </w:tcMar>
          </w:tcPr>
          <w:p w14:paraId="15528FF1" w14:textId="77777777" w:rsidR="000A530B" w:rsidRDefault="00000000">
            <w:pPr>
              <w:spacing w:line="248" w:lineRule="auto"/>
            </w:pPr>
            <w:r>
              <w:rPr>
                <w:sz w:val="19"/>
                <w:szCs w:val="19"/>
              </w:rPr>
              <w:t>Structure &amp; serve</w:t>
            </w:r>
          </w:p>
        </w:tc>
        <w:tc>
          <w:tcPr>
            <w:tcW w:w="4660" w:type="dxa"/>
            <w:tcMar>
              <w:top w:w="90" w:type="dxa"/>
              <w:left w:w="130" w:type="dxa"/>
              <w:bottom w:w="90" w:type="dxa"/>
              <w:right w:w="130" w:type="dxa"/>
            </w:tcMar>
          </w:tcPr>
          <w:p w14:paraId="1B68D497" w14:textId="77777777" w:rsidR="000A530B" w:rsidRDefault="00000000">
            <w:pPr>
              <w:spacing w:line="248" w:lineRule="auto"/>
            </w:pPr>
            <w:r>
              <w:rPr>
                <w:sz w:val="19"/>
                <w:szCs w:val="19"/>
              </w:rPr>
              <w:t>Workflow-embedded knowledge with AI answers and a verification cadence that keeps articles trusted and current where people already work.</w:t>
            </w:r>
          </w:p>
        </w:tc>
      </w:tr>
      <w:tr w:rsidR="000A530B" w14:paraId="315855CF" w14:textId="77777777">
        <w:tc>
          <w:tcPr>
            <w:tcW w:w="2060" w:type="dxa"/>
            <w:shd w:val="clear" w:color="auto" w:fill="F8F9FA"/>
            <w:tcMar>
              <w:top w:w="90" w:type="dxa"/>
              <w:left w:w="130" w:type="dxa"/>
              <w:bottom w:w="90" w:type="dxa"/>
              <w:right w:w="130" w:type="dxa"/>
            </w:tcMar>
          </w:tcPr>
          <w:p w14:paraId="4AD20B35" w14:textId="77777777" w:rsidR="000A530B" w:rsidRDefault="00000000">
            <w:pPr>
              <w:spacing w:line="248" w:lineRule="auto"/>
            </w:pPr>
            <w:r>
              <w:rPr>
                <w:b/>
                <w:bCs/>
                <w:color w:val="1E3A5F"/>
                <w:sz w:val="19"/>
                <w:szCs w:val="19"/>
              </w:rPr>
              <w:t>Glean</w:t>
            </w:r>
          </w:p>
        </w:tc>
        <w:tc>
          <w:tcPr>
            <w:tcW w:w="2640" w:type="dxa"/>
            <w:shd w:val="clear" w:color="auto" w:fill="F8F9FA"/>
            <w:tcMar>
              <w:top w:w="90" w:type="dxa"/>
              <w:left w:w="130" w:type="dxa"/>
              <w:bottom w:w="90" w:type="dxa"/>
              <w:right w:w="130" w:type="dxa"/>
            </w:tcMar>
          </w:tcPr>
          <w:p w14:paraId="7704C48C" w14:textId="77777777" w:rsidR="000A530B" w:rsidRDefault="00000000">
            <w:pPr>
              <w:spacing w:line="248" w:lineRule="auto"/>
            </w:pPr>
            <w:r>
              <w:rPr>
                <w:sz w:val="19"/>
                <w:szCs w:val="19"/>
              </w:rPr>
              <w:t>Serve (retrieval)</w:t>
            </w:r>
          </w:p>
        </w:tc>
        <w:tc>
          <w:tcPr>
            <w:tcW w:w="4660" w:type="dxa"/>
            <w:shd w:val="clear" w:color="auto" w:fill="F8F9FA"/>
            <w:tcMar>
              <w:top w:w="90" w:type="dxa"/>
              <w:left w:w="130" w:type="dxa"/>
              <w:bottom w:w="90" w:type="dxa"/>
              <w:right w:w="130" w:type="dxa"/>
            </w:tcMar>
          </w:tcPr>
          <w:p w14:paraId="0CF515F7" w14:textId="77777777" w:rsidR="000A530B" w:rsidRDefault="00000000">
            <w:pPr>
              <w:spacing w:line="248" w:lineRule="auto"/>
            </w:pPr>
            <w:r>
              <w:rPr>
                <w:sz w:val="19"/>
                <w:szCs w:val="19"/>
              </w:rPr>
              <w:t>Enterprise work assistant that grounds answers by searching across connected company applications with permission-aware retrieval.</w:t>
            </w:r>
          </w:p>
        </w:tc>
      </w:tr>
    </w:tbl>
    <w:p w14:paraId="24E0BF11" w14:textId="77777777" w:rsidR="000A530B" w:rsidRDefault="00000000">
      <w:pPr>
        <w:spacing w:before="260" w:after="100"/>
      </w:pPr>
      <w:r>
        <w:rPr>
          <w:b/>
          <w:bCs/>
          <w:color w:val="17A589"/>
          <w:spacing w:val="20"/>
          <w:sz w:val="18"/>
          <w:szCs w:val="18"/>
        </w:rPr>
        <w:t>TIER B — END-TO-END SERVICE-INTELLIGENCE PLATFORMS</w:t>
      </w:r>
    </w:p>
    <w:tbl>
      <w:tblPr>
        <w:tblW w:w="9360" w:type="dxa"/>
        <w:tblBorders>
          <w:top w:val="single" w:sz="2" w:space="0" w:color="E3E8EF"/>
          <w:left w:val="single" w:sz="2" w:space="0" w:color="E3E8EF"/>
          <w:bottom w:val="single" w:sz="2" w:space="0" w:color="E3E8EF"/>
          <w:right w:val="single" w:sz="2" w:space="0" w:color="E3E8EF"/>
          <w:insideH w:val="single" w:sz="2" w:space="0" w:color="E3E8EF"/>
          <w:insideV w:val="single" w:sz="2" w:space="0" w:color="E3E8EF"/>
        </w:tblBorders>
        <w:tblCellMar>
          <w:left w:w="10" w:type="dxa"/>
          <w:right w:w="10" w:type="dxa"/>
        </w:tblCellMar>
        <w:tblLook w:val="04A0" w:firstRow="1" w:lastRow="0" w:firstColumn="1" w:lastColumn="0" w:noHBand="0" w:noVBand="1"/>
      </w:tblPr>
      <w:tblGrid>
        <w:gridCol w:w="2340"/>
        <w:gridCol w:w="2520"/>
        <w:gridCol w:w="4500"/>
      </w:tblGrid>
      <w:tr w:rsidR="000A530B" w14:paraId="17F55626" w14:textId="77777777">
        <w:tc>
          <w:tcPr>
            <w:tcW w:w="9360" w:type="dxa"/>
            <w:gridSpan w:val="3"/>
            <w:tcMar>
              <w:top w:w="40" w:type="dxa"/>
              <w:left w:w="0" w:type="dxa"/>
              <w:bottom w:w="100" w:type="dxa"/>
              <w:right w:w="0" w:type="dxa"/>
            </w:tcMar>
          </w:tcPr>
          <w:p w14:paraId="5D0EB2FC" w14:textId="77777777" w:rsidR="000A530B" w:rsidRDefault="00000000">
            <w:r>
              <w:rPr>
                <w:rFonts w:ascii="Georgia" w:eastAsia="Georgia" w:hAnsi="Georgia" w:cs="Georgia"/>
                <w:i/>
                <w:iCs/>
                <w:color w:val="2B4C8C"/>
              </w:rPr>
              <w:t>Built to run service operations with intelligence layered in</w:t>
            </w:r>
          </w:p>
        </w:tc>
      </w:tr>
      <w:tr w:rsidR="000A530B" w14:paraId="5EF22736" w14:textId="77777777">
        <w:trPr>
          <w:tblHeader/>
        </w:trPr>
        <w:tc>
          <w:tcPr>
            <w:tcW w:w="2340" w:type="dxa"/>
            <w:shd w:val="clear" w:color="auto" w:fill="1E3A5F"/>
            <w:tcMar>
              <w:top w:w="90" w:type="dxa"/>
              <w:left w:w="130" w:type="dxa"/>
              <w:bottom w:w="90" w:type="dxa"/>
              <w:right w:w="130" w:type="dxa"/>
            </w:tcMar>
          </w:tcPr>
          <w:p w14:paraId="39F6B929" w14:textId="77777777" w:rsidR="000A530B" w:rsidRDefault="00000000">
            <w:r>
              <w:rPr>
                <w:b/>
                <w:bCs/>
                <w:color w:val="FFFFFF"/>
                <w:sz w:val="20"/>
                <w:szCs w:val="20"/>
              </w:rPr>
              <w:t>Vendor</w:t>
            </w:r>
          </w:p>
        </w:tc>
        <w:tc>
          <w:tcPr>
            <w:tcW w:w="2520" w:type="dxa"/>
            <w:shd w:val="clear" w:color="auto" w:fill="1E3A5F"/>
            <w:tcMar>
              <w:top w:w="90" w:type="dxa"/>
              <w:left w:w="130" w:type="dxa"/>
              <w:bottom w:w="90" w:type="dxa"/>
              <w:right w:w="130" w:type="dxa"/>
            </w:tcMar>
          </w:tcPr>
          <w:p w14:paraId="492A2D11" w14:textId="77777777" w:rsidR="000A530B" w:rsidRDefault="00000000">
            <w:r>
              <w:rPr>
                <w:b/>
                <w:bCs/>
                <w:color w:val="FFFFFF"/>
                <w:sz w:val="20"/>
                <w:szCs w:val="20"/>
              </w:rPr>
              <w:t>Spine layer served</w:t>
            </w:r>
          </w:p>
        </w:tc>
        <w:tc>
          <w:tcPr>
            <w:tcW w:w="4500" w:type="dxa"/>
            <w:shd w:val="clear" w:color="auto" w:fill="1E3A5F"/>
            <w:tcMar>
              <w:top w:w="90" w:type="dxa"/>
              <w:left w:w="130" w:type="dxa"/>
              <w:bottom w:w="90" w:type="dxa"/>
              <w:right w:w="130" w:type="dxa"/>
            </w:tcMar>
          </w:tcPr>
          <w:p w14:paraId="720FB07A" w14:textId="77777777" w:rsidR="000A530B" w:rsidRDefault="00000000">
            <w:r>
              <w:rPr>
                <w:b/>
                <w:bCs/>
                <w:color w:val="FFFFFF"/>
                <w:sz w:val="20"/>
                <w:szCs w:val="20"/>
              </w:rPr>
              <w:t>How they deliver it</w:t>
            </w:r>
          </w:p>
        </w:tc>
      </w:tr>
      <w:tr w:rsidR="000A530B" w14:paraId="017007F0" w14:textId="77777777">
        <w:tc>
          <w:tcPr>
            <w:tcW w:w="2340" w:type="dxa"/>
            <w:tcMar>
              <w:top w:w="90" w:type="dxa"/>
              <w:left w:w="130" w:type="dxa"/>
              <w:bottom w:w="90" w:type="dxa"/>
              <w:right w:w="130" w:type="dxa"/>
            </w:tcMar>
          </w:tcPr>
          <w:p w14:paraId="0AD73C3B" w14:textId="77777777" w:rsidR="000A530B" w:rsidRDefault="00000000">
            <w:pPr>
              <w:spacing w:line="248" w:lineRule="auto"/>
            </w:pPr>
            <w:proofErr w:type="spellStart"/>
            <w:r>
              <w:rPr>
                <w:b/>
                <w:bCs/>
                <w:color w:val="1E3A5F"/>
                <w:sz w:val="19"/>
                <w:szCs w:val="19"/>
              </w:rPr>
              <w:t>Aquant</w:t>
            </w:r>
            <w:proofErr w:type="spellEnd"/>
          </w:p>
        </w:tc>
        <w:tc>
          <w:tcPr>
            <w:tcW w:w="2520" w:type="dxa"/>
            <w:tcMar>
              <w:top w:w="90" w:type="dxa"/>
              <w:left w:w="130" w:type="dxa"/>
              <w:bottom w:w="90" w:type="dxa"/>
              <w:right w:w="130" w:type="dxa"/>
            </w:tcMar>
          </w:tcPr>
          <w:p w14:paraId="7E2E4F57" w14:textId="77777777" w:rsidR="000A530B" w:rsidRDefault="00000000">
            <w:pPr>
              <w:spacing w:line="248" w:lineRule="auto"/>
            </w:pPr>
            <w:r>
              <w:rPr>
                <w:sz w:val="19"/>
                <w:szCs w:val="19"/>
              </w:rPr>
              <w:t>Validate, structure, serve, learn</w:t>
            </w:r>
          </w:p>
        </w:tc>
        <w:tc>
          <w:tcPr>
            <w:tcW w:w="4500" w:type="dxa"/>
            <w:tcMar>
              <w:top w:w="90" w:type="dxa"/>
              <w:left w:w="130" w:type="dxa"/>
              <w:bottom w:w="90" w:type="dxa"/>
              <w:right w:w="130" w:type="dxa"/>
            </w:tcMar>
          </w:tcPr>
          <w:p w14:paraId="51A6A761" w14:textId="77777777" w:rsidR="000A530B" w:rsidRDefault="00000000">
            <w:pPr>
              <w:spacing w:line="248" w:lineRule="auto"/>
            </w:pPr>
            <w:r>
              <w:rPr>
                <w:sz w:val="19"/>
                <w:szCs w:val="19"/>
              </w:rPr>
              <w:t>Service-intelligence layer that unifies existing service data into a shared “single source of truth”; a service-language model learns an organization’s own terminology to power triage, guided troubleshooting, knowledge capture, and (in 2026) agentic execution; integrates with major FSM suites.</w:t>
            </w:r>
            <w:hyperlink w:anchor="ref15" w:history="1">
              <w:r w:rsidR="000A530B">
                <w:rPr>
                  <w:color w:val="2B4C8C"/>
                  <w:sz w:val="19"/>
                  <w:szCs w:val="19"/>
                  <w:vertAlign w:val="superscript"/>
                </w:rPr>
                <w:t>15</w:t>
              </w:r>
            </w:hyperlink>
          </w:p>
        </w:tc>
      </w:tr>
      <w:tr w:rsidR="000A530B" w14:paraId="712CA8FB" w14:textId="77777777">
        <w:tc>
          <w:tcPr>
            <w:tcW w:w="2340" w:type="dxa"/>
            <w:shd w:val="clear" w:color="auto" w:fill="F8F9FA"/>
            <w:tcMar>
              <w:top w:w="90" w:type="dxa"/>
              <w:left w:w="130" w:type="dxa"/>
              <w:bottom w:w="90" w:type="dxa"/>
              <w:right w:w="130" w:type="dxa"/>
            </w:tcMar>
          </w:tcPr>
          <w:p w14:paraId="41ED318B" w14:textId="5CEC7818" w:rsidR="000A530B" w:rsidRDefault="00240C08">
            <w:pPr>
              <w:spacing w:line="248" w:lineRule="auto"/>
            </w:pPr>
            <w:r>
              <w:rPr>
                <w:b/>
                <w:bCs/>
                <w:color w:val="1E3A5F"/>
                <w:sz w:val="19"/>
                <w:szCs w:val="19"/>
              </w:rPr>
              <w:t>Neuron7</w:t>
            </w:r>
          </w:p>
        </w:tc>
        <w:tc>
          <w:tcPr>
            <w:tcW w:w="2520" w:type="dxa"/>
            <w:shd w:val="clear" w:color="auto" w:fill="F8F9FA"/>
            <w:tcMar>
              <w:top w:w="90" w:type="dxa"/>
              <w:left w:w="130" w:type="dxa"/>
              <w:bottom w:w="90" w:type="dxa"/>
              <w:right w:w="130" w:type="dxa"/>
            </w:tcMar>
          </w:tcPr>
          <w:p w14:paraId="4392738B" w14:textId="072F29DA" w:rsidR="000A530B" w:rsidRDefault="00240C08">
            <w:pPr>
              <w:spacing w:line="248" w:lineRule="auto"/>
            </w:pPr>
            <w:r>
              <w:rPr>
                <w:sz w:val="19"/>
                <w:szCs w:val="19"/>
              </w:rPr>
              <w:t>Validate, structure, serve, learn</w:t>
            </w:r>
          </w:p>
        </w:tc>
        <w:tc>
          <w:tcPr>
            <w:tcW w:w="4500" w:type="dxa"/>
            <w:shd w:val="clear" w:color="auto" w:fill="F8F9FA"/>
            <w:tcMar>
              <w:top w:w="90" w:type="dxa"/>
              <w:left w:w="130" w:type="dxa"/>
              <w:bottom w:w="90" w:type="dxa"/>
              <w:right w:w="130" w:type="dxa"/>
            </w:tcMar>
          </w:tcPr>
          <w:p w14:paraId="64677CD3" w14:textId="357AF5C2" w:rsidR="000A530B" w:rsidRPr="00240C08" w:rsidRDefault="00240C08">
            <w:pPr>
              <w:spacing w:line="248" w:lineRule="auto"/>
              <w:rPr>
                <w:sz w:val="19"/>
                <w:szCs w:val="19"/>
              </w:rPr>
            </w:pPr>
            <w:r w:rsidRPr="00240C08">
              <w:rPr>
                <w:sz w:val="19"/>
                <w:szCs w:val="19"/>
              </w:rPr>
              <w:t>Service Decision Intelligence platform that builds a graph of assets, failure modes, and resolution pathways from existing service data; stateful resolution pathways compound accuracy with every technician decision and extend to non-connected assets for predictive coverage; integrates with Salesforce, ServiceNow, and Microsoft.</w:t>
            </w:r>
          </w:p>
        </w:tc>
      </w:tr>
      <w:tr w:rsidR="000A530B" w14:paraId="17FB4A29" w14:textId="77777777">
        <w:tc>
          <w:tcPr>
            <w:tcW w:w="2340" w:type="dxa"/>
            <w:tcMar>
              <w:top w:w="90" w:type="dxa"/>
              <w:left w:w="130" w:type="dxa"/>
              <w:bottom w:w="90" w:type="dxa"/>
              <w:right w:w="130" w:type="dxa"/>
            </w:tcMar>
          </w:tcPr>
          <w:p w14:paraId="595B8876" w14:textId="77777777" w:rsidR="000A530B" w:rsidRDefault="00000000">
            <w:pPr>
              <w:spacing w:line="248" w:lineRule="auto"/>
            </w:pPr>
            <w:r>
              <w:rPr>
                <w:b/>
                <w:bCs/>
                <w:color w:val="1E3A5F"/>
                <w:sz w:val="19"/>
                <w:szCs w:val="19"/>
              </w:rPr>
              <w:t>Salesforce Field Service</w:t>
            </w:r>
          </w:p>
        </w:tc>
        <w:tc>
          <w:tcPr>
            <w:tcW w:w="2520" w:type="dxa"/>
            <w:tcMar>
              <w:top w:w="90" w:type="dxa"/>
              <w:left w:w="130" w:type="dxa"/>
              <w:bottom w:w="90" w:type="dxa"/>
              <w:right w:w="130" w:type="dxa"/>
            </w:tcMar>
          </w:tcPr>
          <w:p w14:paraId="278F0AA2" w14:textId="77777777" w:rsidR="000A530B" w:rsidRDefault="00000000">
            <w:pPr>
              <w:spacing w:line="248" w:lineRule="auto"/>
            </w:pPr>
            <w:r>
              <w:rPr>
                <w:sz w:val="19"/>
                <w:szCs w:val="19"/>
              </w:rPr>
              <w:t>Serve (in-flow)</w:t>
            </w:r>
          </w:p>
        </w:tc>
        <w:tc>
          <w:tcPr>
            <w:tcW w:w="4500" w:type="dxa"/>
            <w:tcMar>
              <w:top w:w="90" w:type="dxa"/>
              <w:left w:w="130" w:type="dxa"/>
              <w:bottom w:w="90" w:type="dxa"/>
              <w:right w:w="130" w:type="dxa"/>
            </w:tcMar>
          </w:tcPr>
          <w:p w14:paraId="3597B4AE" w14:textId="77777777" w:rsidR="000A530B" w:rsidRDefault="00000000">
            <w:pPr>
              <w:spacing w:line="248" w:lineRule="auto"/>
            </w:pPr>
            <w:r>
              <w:rPr>
                <w:sz w:val="19"/>
                <w:szCs w:val="19"/>
              </w:rPr>
              <w:t xml:space="preserve">FSM within the Salesforce ecosystem; </w:t>
            </w:r>
            <w:proofErr w:type="spellStart"/>
            <w:r>
              <w:rPr>
                <w:sz w:val="19"/>
                <w:szCs w:val="19"/>
              </w:rPr>
              <w:t>Agentforce</w:t>
            </w:r>
            <w:proofErr w:type="spellEnd"/>
            <w:r>
              <w:rPr>
                <w:sz w:val="19"/>
                <w:szCs w:val="19"/>
              </w:rPr>
              <w:t xml:space="preserve"> generates work-order summaries and guided troubleshooting drawn from Salesforce Knowledge, surfaced in the technician’s flow.</w:t>
            </w:r>
          </w:p>
        </w:tc>
      </w:tr>
      <w:tr w:rsidR="000A530B" w14:paraId="50704F5D" w14:textId="77777777">
        <w:tc>
          <w:tcPr>
            <w:tcW w:w="2340" w:type="dxa"/>
            <w:shd w:val="clear" w:color="auto" w:fill="F8F9FA"/>
            <w:tcMar>
              <w:top w:w="90" w:type="dxa"/>
              <w:left w:w="130" w:type="dxa"/>
              <w:bottom w:w="90" w:type="dxa"/>
              <w:right w:w="130" w:type="dxa"/>
            </w:tcMar>
          </w:tcPr>
          <w:p w14:paraId="1E58BD4B" w14:textId="77777777" w:rsidR="000A530B" w:rsidRDefault="00000000">
            <w:pPr>
              <w:spacing w:line="248" w:lineRule="auto"/>
            </w:pPr>
            <w:r>
              <w:rPr>
                <w:b/>
                <w:bCs/>
                <w:color w:val="1E3A5F"/>
                <w:sz w:val="19"/>
                <w:szCs w:val="19"/>
              </w:rPr>
              <w:t>IFS Cloud FSM</w:t>
            </w:r>
          </w:p>
        </w:tc>
        <w:tc>
          <w:tcPr>
            <w:tcW w:w="2520" w:type="dxa"/>
            <w:shd w:val="clear" w:color="auto" w:fill="F8F9FA"/>
            <w:tcMar>
              <w:top w:w="90" w:type="dxa"/>
              <w:left w:w="130" w:type="dxa"/>
              <w:bottom w:w="90" w:type="dxa"/>
              <w:right w:w="130" w:type="dxa"/>
            </w:tcMar>
          </w:tcPr>
          <w:p w14:paraId="4D62BB24" w14:textId="77777777" w:rsidR="000A530B" w:rsidRDefault="00000000">
            <w:pPr>
              <w:spacing w:line="248" w:lineRule="auto"/>
            </w:pPr>
            <w:r>
              <w:rPr>
                <w:sz w:val="19"/>
                <w:szCs w:val="19"/>
              </w:rPr>
              <w:t>Structure &amp; serve</w:t>
            </w:r>
          </w:p>
        </w:tc>
        <w:tc>
          <w:tcPr>
            <w:tcW w:w="4500" w:type="dxa"/>
            <w:shd w:val="clear" w:color="auto" w:fill="F8F9FA"/>
            <w:tcMar>
              <w:top w:w="90" w:type="dxa"/>
              <w:left w:w="130" w:type="dxa"/>
              <w:bottom w:w="90" w:type="dxa"/>
              <w:right w:w="130" w:type="dxa"/>
            </w:tcMar>
          </w:tcPr>
          <w:p w14:paraId="5FB22633" w14:textId="77777777" w:rsidR="000A530B" w:rsidRDefault="00000000">
            <w:pPr>
              <w:spacing w:line="248" w:lineRule="auto"/>
            </w:pPr>
            <w:r>
              <w:rPr>
                <w:sz w:val="19"/>
                <w:szCs w:val="19"/>
              </w:rPr>
              <w:t>Unified scheduling, contracts, warranties, parts, SLA and reverse logistics with AI and IoT; cloud or on-prem; built for widely distributed, high-value assets.</w:t>
            </w:r>
          </w:p>
        </w:tc>
      </w:tr>
      <w:tr w:rsidR="000A530B" w14:paraId="0EA10026" w14:textId="77777777">
        <w:tc>
          <w:tcPr>
            <w:tcW w:w="2340" w:type="dxa"/>
            <w:tcMar>
              <w:top w:w="90" w:type="dxa"/>
              <w:left w:w="130" w:type="dxa"/>
              <w:bottom w:w="90" w:type="dxa"/>
              <w:right w:w="130" w:type="dxa"/>
            </w:tcMar>
          </w:tcPr>
          <w:p w14:paraId="7FA17EA5" w14:textId="77777777" w:rsidR="000A530B" w:rsidRDefault="00000000">
            <w:pPr>
              <w:spacing w:line="248" w:lineRule="auto"/>
            </w:pPr>
            <w:r>
              <w:rPr>
                <w:b/>
                <w:bCs/>
                <w:color w:val="1E3A5F"/>
                <w:sz w:val="19"/>
                <w:szCs w:val="19"/>
              </w:rPr>
              <w:t>ServiceNow</w:t>
            </w:r>
          </w:p>
        </w:tc>
        <w:tc>
          <w:tcPr>
            <w:tcW w:w="2520" w:type="dxa"/>
            <w:tcMar>
              <w:top w:w="90" w:type="dxa"/>
              <w:left w:w="130" w:type="dxa"/>
              <w:bottom w:w="90" w:type="dxa"/>
              <w:right w:w="130" w:type="dxa"/>
            </w:tcMar>
          </w:tcPr>
          <w:p w14:paraId="7184744D" w14:textId="77777777" w:rsidR="000A530B" w:rsidRDefault="00000000">
            <w:pPr>
              <w:spacing w:line="248" w:lineRule="auto"/>
            </w:pPr>
            <w:r>
              <w:rPr>
                <w:sz w:val="19"/>
                <w:szCs w:val="19"/>
              </w:rPr>
              <w:t>Validate, structure, serve</w:t>
            </w:r>
          </w:p>
        </w:tc>
        <w:tc>
          <w:tcPr>
            <w:tcW w:w="4500" w:type="dxa"/>
            <w:tcMar>
              <w:top w:w="90" w:type="dxa"/>
              <w:left w:w="130" w:type="dxa"/>
              <w:bottom w:w="90" w:type="dxa"/>
              <w:right w:w="130" w:type="dxa"/>
            </w:tcMar>
          </w:tcPr>
          <w:p w14:paraId="016EB1A0" w14:textId="77777777" w:rsidR="000A530B" w:rsidRDefault="00000000">
            <w:pPr>
              <w:spacing w:line="248" w:lineRule="auto"/>
            </w:pPr>
            <w:r>
              <w:rPr>
                <w:sz w:val="19"/>
                <w:szCs w:val="19"/>
              </w:rPr>
              <w:t>Workflow platform pairing Field Service Management with native Knowledge Management and generative assistance that surfaces answers in the agent and technician flow.</w:t>
            </w:r>
          </w:p>
        </w:tc>
      </w:tr>
      <w:tr w:rsidR="000A530B" w14:paraId="708D0BE1" w14:textId="77777777">
        <w:tc>
          <w:tcPr>
            <w:tcW w:w="2340" w:type="dxa"/>
            <w:shd w:val="clear" w:color="auto" w:fill="F8F9FA"/>
            <w:tcMar>
              <w:top w:w="90" w:type="dxa"/>
              <w:left w:w="130" w:type="dxa"/>
              <w:bottom w:w="90" w:type="dxa"/>
              <w:right w:w="130" w:type="dxa"/>
            </w:tcMar>
          </w:tcPr>
          <w:p w14:paraId="518F6E0C" w14:textId="77777777" w:rsidR="000A530B" w:rsidRDefault="00000000">
            <w:pPr>
              <w:spacing w:line="248" w:lineRule="auto"/>
            </w:pPr>
            <w:r>
              <w:rPr>
                <w:b/>
                <w:bCs/>
                <w:color w:val="1E3A5F"/>
                <w:sz w:val="19"/>
                <w:szCs w:val="19"/>
              </w:rPr>
              <w:t>Microsoft Dynamics 365 Field Service</w:t>
            </w:r>
          </w:p>
        </w:tc>
        <w:tc>
          <w:tcPr>
            <w:tcW w:w="2520" w:type="dxa"/>
            <w:shd w:val="clear" w:color="auto" w:fill="F8F9FA"/>
            <w:tcMar>
              <w:top w:w="90" w:type="dxa"/>
              <w:left w:w="130" w:type="dxa"/>
              <w:bottom w:w="90" w:type="dxa"/>
              <w:right w:w="130" w:type="dxa"/>
            </w:tcMar>
          </w:tcPr>
          <w:p w14:paraId="067DA934" w14:textId="77777777" w:rsidR="000A530B" w:rsidRDefault="00000000">
            <w:pPr>
              <w:spacing w:line="248" w:lineRule="auto"/>
            </w:pPr>
            <w:r>
              <w:rPr>
                <w:sz w:val="19"/>
                <w:szCs w:val="19"/>
              </w:rPr>
              <w:t>Serve (in-flow)</w:t>
            </w:r>
          </w:p>
        </w:tc>
        <w:tc>
          <w:tcPr>
            <w:tcW w:w="4500" w:type="dxa"/>
            <w:shd w:val="clear" w:color="auto" w:fill="F8F9FA"/>
            <w:tcMar>
              <w:top w:w="90" w:type="dxa"/>
              <w:left w:w="130" w:type="dxa"/>
              <w:bottom w:w="90" w:type="dxa"/>
              <w:right w:w="130" w:type="dxa"/>
            </w:tcMar>
          </w:tcPr>
          <w:p w14:paraId="1DD0DBCD" w14:textId="77777777" w:rsidR="000A530B" w:rsidRDefault="00000000">
            <w:pPr>
              <w:spacing w:line="248" w:lineRule="auto"/>
            </w:pPr>
            <w:r>
              <w:rPr>
                <w:sz w:val="19"/>
                <w:szCs w:val="19"/>
              </w:rPr>
              <w:t>FSM with Copilot for work-order summarization and in-context guidance, embedded across the Microsoft productivity stack.</w:t>
            </w:r>
          </w:p>
        </w:tc>
      </w:tr>
      <w:tr w:rsidR="00240C08" w14:paraId="5EBC081B" w14:textId="77777777" w:rsidTr="00240C08">
        <w:tc>
          <w:tcPr>
            <w:tcW w:w="2340" w:type="dxa"/>
            <w:shd w:val="clear" w:color="auto" w:fill="FFFFFF" w:themeFill="background1"/>
            <w:tcMar>
              <w:top w:w="90" w:type="dxa"/>
              <w:left w:w="130" w:type="dxa"/>
              <w:bottom w:w="90" w:type="dxa"/>
              <w:right w:w="130" w:type="dxa"/>
            </w:tcMar>
          </w:tcPr>
          <w:p w14:paraId="1C0CC3FB" w14:textId="6EBAC796" w:rsidR="00240C08" w:rsidRDefault="00240C08" w:rsidP="00240C08">
            <w:pPr>
              <w:spacing w:line="248" w:lineRule="auto"/>
              <w:rPr>
                <w:b/>
                <w:bCs/>
                <w:color w:val="1E3A5F"/>
                <w:sz w:val="19"/>
                <w:szCs w:val="19"/>
              </w:rPr>
            </w:pPr>
            <w:proofErr w:type="spellStart"/>
            <w:r>
              <w:rPr>
                <w:b/>
                <w:bCs/>
                <w:color w:val="1E3A5F"/>
                <w:sz w:val="19"/>
                <w:szCs w:val="19"/>
              </w:rPr>
              <w:t>ServiceMax</w:t>
            </w:r>
            <w:proofErr w:type="spellEnd"/>
            <w:r>
              <w:rPr>
                <w:b/>
                <w:bCs/>
                <w:color w:val="1E3A5F"/>
                <w:sz w:val="19"/>
                <w:szCs w:val="19"/>
              </w:rPr>
              <w:t xml:space="preserve"> (PTC)</w:t>
            </w:r>
          </w:p>
        </w:tc>
        <w:tc>
          <w:tcPr>
            <w:tcW w:w="2520" w:type="dxa"/>
            <w:shd w:val="clear" w:color="auto" w:fill="FFFFFF" w:themeFill="background1"/>
            <w:tcMar>
              <w:top w:w="90" w:type="dxa"/>
              <w:left w:w="130" w:type="dxa"/>
              <w:bottom w:w="90" w:type="dxa"/>
              <w:right w:w="130" w:type="dxa"/>
            </w:tcMar>
          </w:tcPr>
          <w:p w14:paraId="30C73E97" w14:textId="0E87BAE8" w:rsidR="00240C08" w:rsidRDefault="00240C08" w:rsidP="00240C08">
            <w:pPr>
              <w:spacing w:line="248" w:lineRule="auto"/>
              <w:rPr>
                <w:sz w:val="19"/>
                <w:szCs w:val="19"/>
              </w:rPr>
            </w:pPr>
            <w:r>
              <w:rPr>
                <w:sz w:val="19"/>
                <w:szCs w:val="19"/>
              </w:rPr>
              <w:t>Structure &amp; serve</w:t>
            </w:r>
          </w:p>
        </w:tc>
        <w:tc>
          <w:tcPr>
            <w:tcW w:w="4500" w:type="dxa"/>
            <w:shd w:val="clear" w:color="auto" w:fill="FFFFFF" w:themeFill="background1"/>
            <w:tcMar>
              <w:top w:w="90" w:type="dxa"/>
              <w:left w:w="130" w:type="dxa"/>
              <w:bottom w:w="90" w:type="dxa"/>
              <w:right w:w="130" w:type="dxa"/>
            </w:tcMar>
          </w:tcPr>
          <w:p w14:paraId="66B8E87E" w14:textId="081A220A" w:rsidR="00240C08" w:rsidRDefault="00240C08" w:rsidP="00240C08">
            <w:pPr>
              <w:spacing w:line="248" w:lineRule="auto"/>
              <w:rPr>
                <w:sz w:val="19"/>
                <w:szCs w:val="19"/>
              </w:rPr>
            </w:pPr>
            <w:r>
              <w:rPr>
                <w:sz w:val="19"/>
                <w:szCs w:val="19"/>
              </w:rPr>
              <w:t>Asset-centric FSM whose AI turns decades of work-order and asset data into a chat-</w:t>
            </w:r>
            <w:proofErr w:type="spellStart"/>
            <w:r>
              <w:rPr>
                <w:sz w:val="19"/>
                <w:szCs w:val="19"/>
              </w:rPr>
              <w:t>queryable</w:t>
            </w:r>
            <w:proofErr w:type="spellEnd"/>
            <w:r>
              <w:rPr>
                <w:sz w:val="19"/>
                <w:szCs w:val="19"/>
              </w:rPr>
              <w:t xml:space="preserve"> assistant for diagnosis and guidance; ties knowledge back to PTC’s PLM/SLM for regulated, equipment-heavy industries.</w:t>
            </w:r>
          </w:p>
        </w:tc>
      </w:tr>
    </w:tbl>
    <w:p w14:paraId="6E0DB0B8" w14:textId="77777777" w:rsidR="000A530B" w:rsidRDefault="00000000">
      <w:pPr>
        <w:spacing w:before="140" w:after="80" w:line="248" w:lineRule="auto"/>
      </w:pPr>
      <w:r>
        <w:rPr>
          <w:color w:val="6C757D"/>
          <w:sz w:val="19"/>
          <w:szCs w:val="19"/>
        </w:rPr>
        <w:lastRenderedPageBreak/>
        <w:t xml:space="preserve">Capture </w:t>
      </w:r>
      <w:proofErr w:type="gramStart"/>
      <w:r>
        <w:rPr>
          <w:color w:val="6C757D"/>
          <w:sz w:val="19"/>
          <w:szCs w:val="19"/>
        </w:rPr>
        <w:t>specialists</w:t>
      </w:r>
      <w:proofErr w:type="gramEnd"/>
      <w:r>
        <w:rPr>
          <w:color w:val="6C757D"/>
          <w:sz w:val="19"/>
          <w:szCs w:val="19"/>
        </w:rPr>
        <w:t xml:space="preserve"> worth evaluating alongside both tiers: ambient transcription and conversation-intelligence tools (the voice layer), and AR / live-video guidance platforms that capture the field interaction at the source. These feed the spine; they are not a substitute for it.</w:t>
      </w:r>
    </w:p>
    <w:p w14:paraId="1E4177F6" w14:textId="77777777" w:rsidR="000A530B" w:rsidRDefault="000A530B">
      <w:pPr>
        <w:pBdr>
          <w:bottom w:val="single" w:sz="6" w:space="1" w:color="E3E8EF"/>
        </w:pBdr>
        <w:spacing w:before="260" w:after="60"/>
      </w:pPr>
    </w:p>
    <w:p w14:paraId="50A3C83F" w14:textId="77777777" w:rsidR="000A530B" w:rsidRDefault="00000000">
      <w:pPr>
        <w:pStyle w:val="Heading1"/>
      </w:pPr>
      <w:bookmarkStart w:id="10" w:name="sec11"/>
      <w:r>
        <w:rPr>
          <w:color w:val="F5A623"/>
          <w:sz w:val="26"/>
          <w:szCs w:val="26"/>
        </w:rPr>
        <w:t xml:space="preserve">11   </w:t>
      </w:r>
      <w:r>
        <w:t>The dependency nobody sees</w:t>
      </w:r>
    </w:p>
    <w:p w14:paraId="3645F559" w14:textId="77777777" w:rsidR="000A530B" w:rsidRDefault="00000000">
      <w:pPr>
        <w:spacing w:after="160" w:line="276" w:lineRule="auto"/>
      </w:pPr>
      <w:r>
        <w:t xml:space="preserve">Like the human nervous system, a knowledge spine is invisible when it works. Technicians simply get the right answer in the moment; customers simply get resolved; the same problem stops being re-solved for the umpteenth time. The pieces are not exotic — voice to externalize the perishable conversation, a debrief to label reality against the record, a validated structure to absorb variation, and an LLM to serve it without pretending to author it. What’s new is that </w:t>
      </w:r>
      <w:proofErr w:type="gramStart"/>
      <w:r>
        <w:t>the economics</w:t>
      </w:r>
      <w:proofErr w:type="gramEnd"/>
      <w:r>
        <w:t xml:space="preserve"> finally allow you to wire them together, and that the failure to do so now shows up as confidently wrong AI rather than merely empty search results.</w:t>
      </w:r>
    </w:p>
    <w:p w14:paraId="34E236B7" w14:textId="77777777" w:rsidR="000A530B" w:rsidRDefault="00000000">
      <w:pPr>
        <w:spacing w:after="160" w:line="276" w:lineRule="auto"/>
      </w:pPr>
      <w:r>
        <w:t>The service organizations that will survive the AI/ML phase of technical customer service will not be the ones that bought the most capable model. They will be the ones that created a functioning nervous system — made, out of many sources of truth, a single living source of truth — and then trusted their people in the field to keep it honest.</w:t>
      </w:r>
    </w:p>
    <w:p w14:paraId="6559ED16" w14:textId="77777777" w:rsidR="000A530B" w:rsidRDefault="000A530B">
      <w:pPr>
        <w:pBdr>
          <w:bottom w:val="single" w:sz="6" w:space="1" w:color="E3E8EF"/>
        </w:pBdr>
        <w:spacing w:before="260" w:after="60"/>
      </w:pPr>
    </w:p>
    <w:p w14:paraId="45E94054" w14:textId="77777777" w:rsidR="000A530B" w:rsidRDefault="00000000">
      <w:pPr>
        <w:pStyle w:val="Heading1"/>
        <w:spacing w:before="300"/>
      </w:pPr>
      <w:bookmarkStart w:id="11" w:name="refsHead"/>
      <w:r>
        <w:t>References</w:t>
      </w:r>
    </w:p>
    <w:p w14:paraId="2055C077" w14:textId="77777777" w:rsidR="000A530B" w:rsidRDefault="00000000">
      <w:pPr>
        <w:pStyle w:val="ListParagraph"/>
        <w:numPr>
          <w:ilvl w:val="0"/>
          <w:numId w:val="2"/>
        </w:numPr>
        <w:spacing w:after="100" w:line="248" w:lineRule="auto"/>
      </w:pPr>
      <w:bookmarkStart w:id="12" w:name="ref1"/>
      <w:r>
        <w:rPr>
          <w:sz w:val="18"/>
          <w:szCs w:val="18"/>
        </w:rPr>
        <w:t xml:space="preserve">MIT Technology Review, </w:t>
      </w:r>
      <w:hyperlink r:id="rId9" w:history="1">
        <w:r w:rsidR="000A530B">
          <w:rPr>
            <w:color w:val="2B4C8C"/>
            <w:sz w:val="18"/>
            <w:szCs w:val="18"/>
            <w:u w:val="single"/>
          </w:rPr>
          <w:t>“Building a strong data infrastructure for AI agent success”</w:t>
        </w:r>
      </w:hyperlink>
      <w:r>
        <w:rPr>
          <w:sz w:val="18"/>
          <w:szCs w:val="18"/>
        </w:rPr>
        <w:t xml:space="preserve"> (2026).</w:t>
      </w:r>
    </w:p>
    <w:p w14:paraId="14C568EE" w14:textId="77777777" w:rsidR="000A530B" w:rsidRDefault="00000000">
      <w:pPr>
        <w:pStyle w:val="ListParagraph"/>
        <w:numPr>
          <w:ilvl w:val="0"/>
          <w:numId w:val="2"/>
        </w:numPr>
        <w:spacing w:after="100" w:line="248" w:lineRule="auto"/>
      </w:pPr>
      <w:bookmarkStart w:id="13" w:name="ref2"/>
      <w:r>
        <w:rPr>
          <w:sz w:val="18"/>
          <w:szCs w:val="18"/>
        </w:rPr>
        <w:t xml:space="preserve">MIT Technology Review, </w:t>
      </w:r>
      <w:hyperlink r:id="rId10" w:history="1">
        <w:r w:rsidR="000A530B">
          <w:rPr>
            <w:color w:val="2B4C8C"/>
            <w:sz w:val="18"/>
            <w:szCs w:val="18"/>
            <w:u w:val="single"/>
          </w:rPr>
          <w:t>“AI needs a strong data fabric to deliver business value”</w:t>
        </w:r>
      </w:hyperlink>
      <w:r>
        <w:rPr>
          <w:sz w:val="18"/>
          <w:szCs w:val="18"/>
        </w:rPr>
        <w:t xml:space="preserve"> (2026).</w:t>
      </w:r>
    </w:p>
    <w:p w14:paraId="745721D0" w14:textId="77777777" w:rsidR="000A530B" w:rsidRDefault="00000000">
      <w:pPr>
        <w:pStyle w:val="ListParagraph"/>
        <w:numPr>
          <w:ilvl w:val="0"/>
          <w:numId w:val="2"/>
        </w:numPr>
        <w:spacing w:after="100" w:line="248" w:lineRule="auto"/>
      </w:pPr>
      <w:bookmarkStart w:id="14" w:name="ref3"/>
      <w:r>
        <w:rPr>
          <w:sz w:val="18"/>
          <w:szCs w:val="18"/>
        </w:rPr>
        <w:t xml:space="preserve">MIT Technology Review, </w:t>
      </w:r>
      <w:hyperlink r:id="rId11" w:history="1">
        <w:r w:rsidR="000A530B">
          <w:rPr>
            <w:color w:val="2B4C8C"/>
            <w:sz w:val="18"/>
            <w:szCs w:val="18"/>
            <w:u w:val="single"/>
          </w:rPr>
          <w:t>“The era of agentic chaos and how data will save us”</w:t>
        </w:r>
      </w:hyperlink>
      <w:r>
        <w:rPr>
          <w:sz w:val="18"/>
          <w:szCs w:val="18"/>
        </w:rPr>
        <w:t xml:space="preserve"> (2026).</w:t>
      </w:r>
    </w:p>
    <w:p w14:paraId="4DB920F9" w14:textId="77777777" w:rsidR="000A530B" w:rsidRDefault="00000000">
      <w:pPr>
        <w:pStyle w:val="ListParagraph"/>
        <w:numPr>
          <w:ilvl w:val="0"/>
          <w:numId w:val="2"/>
        </w:numPr>
        <w:spacing w:after="100" w:line="248" w:lineRule="auto"/>
      </w:pPr>
      <w:bookmarkStart w:id="15" w:name="ref4"/>
      <w:bookmarkEnd w:id="15"/>
      <w:r>
        <w:rPr>
          <w:sz w:val="18"/>
          <w:szCs w:val="18"/>
        </w:rPr>
        <w:t xml:space="preserve">MIT Technology Review, </w:t>
      </w:r>
      <w:hyperlink r:id="rId12" w:history="1">
        <w:r w:rsidR="000A530B">
          <w:rPr>
            <w:color w:val="2B4C8C"/>
            <w:sz w:val="18"/>
            <w:szCs w:val="18"/>
            <w:u w:val="single"/>
          </w:rPr>
          <w:t>“Treating enterprise AI as an operating layer”</w:t>
        </w:r>
      </w:hyperlink>
      <w:r>
        <w:rPr>
          <w:sz w:val="18"/>
          <w:szCs w:val="18"/>
        </w:rPr>
        <w:t xml:space="preserve"> (2026).</w:t>
      </w:r>
    </w:p>
    <w:bookmarkEnd w:id="14"/>
    <w:p w14:paraId="5232C666" w14:textId="77777777" w:rsidR="000A530B" w:rsidRDefault="00000000">
      <w:pPr>
        <w:pStyle w:val="ListParagraph"/>
        <w:numPr>
          <w:ilvl w:val="0"/>
          <w:numId w:val="2"/>
        </w:numPr>
        <w:spacing w:after="100" w:line="248" w:lineRule="auto"/>
      </w:pPr>
      <w:r>
        <w:rPr>
          <w:sz w:val="18"/>
          <w:szCs w:val="18"/>
        </w:rPr>
        <w:t xml:space="preserve">MIT Technology Review, </w:t>
      </w:r>
      <w:hyperlink r:id="rId13" w:history="1">
        <w:r w:rsidR="000A530B">
          <w:rPr>
            <w:color w:val="2B4C8C"/>
            <w:sz w:val="18"/>
            <w:szCs w:val="18"/>
            <w:u w:val="single"/>
          </w:rPr>
          <w:t>“Rethinking organizational design in the age of agentic AI”</w:t>
        </w:r>
      </w:hyperlink>
      <w:r>
        <w:rPr>
          <w:sz w:val="18"/>
          <w:szCs w:val="18"/>
        </w:rPr>
        <w:t xml:space="preserve"> (2026).</w:t>
      </w:r>
    </w:p>
    <w:bookmarkEnd w:id="13"/>
    <w:p w14:paraId="00F21E03" w14:textId="77777777" w:rsidR="000A530B" w:rsidRDefault="00000000">
      <w:pPr>
        <w:pStyle w:val="ListParagraph"/>
        <w:numPr>
          <w:ilvl w:val="0"/>
          <w:numId w:val="2"/>
        </w:numPr>
        <w:spacing w:after="100" w:line="248" w:lineRule="auto"/>
      </w:pPr>
      <w:r>
        <w:rPr>
          <w:sz w:val="18"/>
          <w:szCs w:val="18"/>
        </w:rPr>
        <w:t xml:space="preserve">M. Dixon et al., </w:t>
      </w:r>
      <w:hyperlink r:id="rId14" w:history="1">
        <w:r w:rsidR="000A530B">
          <w:rPr>
            <w:color w:val="2B4C8C"/>
            <w:sz w:val="18"/>
            <w:szCs w:val="18"/>
            <w:u w:val="single"/>
          </w:rPr>
          <w:t>“Kick-Ass Customer Service,”</w:t>
        </w:r>
      </w:hyperlink>
      <w:r>
        <w:rPr>
          <w:sz w:val="18"/>
          <w:szCs w:val="18"/>
        </w:rPr>
        <w:t xml:space="preserve"> Harvard Business Review (2017); see also Dixon, Toman &amp; DeLisi, </w:t>
      </w:r>
      <w:r>
        <w:rPr>
          <w:i/>
          <w:iCs/>
          <w:sz w:val="18"/>
          <w:szCs w:val="18"/>
        </w:rPr>
        <w:t>The Effortless Experience</w:t>
      </w:r>
      <w:r>
        <w:rPr>
          <w:sz w:val="18"/>
          <w:szCs w:val="18"/>
        </w:rPr>
        <w:t xml:space="preserve"> (2013).</w:t>
      </w:r>
    </w:p>
    <w:bookmarkEnd w:id="12"/>
    <w:p w14:paraId="6375FC3B" w14:textId="77777777" w:rsidR="000A530B" w:rsidRDefault="00000000">
      <w:pPr>
        <w:pStyle w:val="ListParagraph"/>
        <w:numPr>
          <w:ilvl w:val="0"/>
          <w:numId w:val="2"/>
        </w:numPr>
        <w:spacing w:after="100" w:line="248" w:lineRule="auto"/>
      </w:pPr>
      <w:r>
        <w:rPr>
          <w:sz w:val="18"/>
          <w:szCs w:val="18"/>
        </w:rPr>
        <w:t xml:space="preserve">S. I. Tannenbaum &amp; C. P. Cerasoli, </w:t>
      </w:r>
      <w:hyperlink r:id="rId15" w:history="1">
        <w:r w:rsidR="000A530B">
          <w:rPr>
            <w:color w:val="2B4C8C"/>
            <w:sz w:val="18"/>
            <w:szCs w:val="18"/>
            <w:u w:val="single"/>
          </w:rPr>
          <w:t>“Do Team and Individual Debriefs Enhance Performance? A Meta-Analysis,”</w:t>
        </w:r>
      </w:hyperlink>
      <w:r>
        <w:rPr>
          <w:sz w:val="18"/>
          <w:szCs w:val="18"/>
        </w:rPr>
        <w:t xml:space="preserve"> </w:t>
      </w:r>
      <w:r>
        <w:rPr>
          <w:i/>
          <w:iCs/>
          <w:sz w:val="18"/>
          <w:szCs w:val="18"/>
        </w:rPr>
        <w:t>Human Factors</w:t>
      </w:r>
      <w:r>
        <w:rPr>
          <w:sz w:val="18"/>
          <w:szCs w:val="18"/>
        </w:rPr>
        <w:t xml:space="preserve"> 55(1): 231–245 (2013).</w:t>
      </w:r>
    </w:p>
    <w:bookmarkEnd w:id="11"/>
    <w:p w14:paraId="405A448B" w14:textId="77777777" w:rsidR="000A530B" w:rsidRDefault="00000000">
      <w:pPr>
        <w:pStyle w:val="ListParagraph"/>
        <w:numPr>
          <w:ilvl w:val="0"/>
          <w:numId w:val="2"/>
        </w:numPr>
        <w:spacing w:after="100" w:line="248" w:lineRule="auto"/>
      </w:pPr>
      <w:r>
        <w:rPr>
          <w:sz w:val="18"/>
          <w:szCs w:val="18"/>
        </w:rPr>
        <w:t xml:space="preserve">A. Diamond, </w:t>
      </w:r>
      <w:hyperlink r:id="rId16" w:history="1">
        <w:r w:rsidR="000A530B">
          <w:rPr>
            <w:color w:val="2B4C8C"/>
            <w:sz w:val="18"/>
            <w:szCs w:val="18"/>
            <w:u w:val="single"/>
          </w:rPr>
          <w:t>“Executive Functions,”</w:t>
        </w:r>
      </w:hyperlink>
      <w:r>
        <w:rPr>
          <w:sz w:val="18"/>
          <w:szCs w:val="18"/>
        </w:rPr>
        <w:t xml:space="preserve"> </w:t>
      </w:r>
      <w:r>
        <w:rPr>
          <w:i/>
          <w:iCs/>
          <w:sz w:val="18"/>
          <w:szCs w:val="18"/>
        </w:rPr>
        <w:t>Annual Review of Psychology</w:t>
      </w:r>
      <w:r>
        <w:rPr>
          <w:sz w:val="18"/>
          <w:szCs w:val="18"/>
        </w:rPr>
        <w:t xml:space="preserve"> 64: 135–168 (2013).</w:t>
      </w:r>
    </w:p>
    <w:bookmarkEnd w:id="10"/>
    <w:p w14:paraId="62045705" w14:textId="77777777" w:rsidR="000A530B" w:rsidRDefault="00000000">
      <w:pPr>
        <w:pStyle w:val="ListParagraph"/>
        <w:numPr>
          <w:ilvl w:val="0"/>
          <w:numId w:val="2"/>
        </w:numPr>
        <w:spacing w:after="100" w:line="248" w:lineRule="auto"/>
      </w:pPr>
      <w:r>
        <w:rPr>
          <w:sz w:val="18"/>
          <w:szCs w:val="18"/>
        </w:rPr>
        <w:t xml:space="preserve">P. Lewis et al., </w:t>
      </w:r>
      <w:hyperlink r:id="rId17" w:history="1">
        <w:r w:rsidR="000A530B">
          <w:rPr>
            <w:color w:val="2B4C8C"/>
            <w:sz w:val="18"/>
            <w:szCs w:val="18"/>
            <w:u w:val="single"/>
          </w:rPr>
          <w:t>“Retrieval-Augmented Generation for Knowledge-Intensive NLP Tasks,”</w:t>
        </w:r>
      </w:hyperlink>
      <w:r>
        <w:rPr>
          <w:sz w:val="18"/>
          <w:szCs w:val="18"/>
        </w:rPr>
        <w:t xml:space="preserve"> arXiv:2005.11401 (2020).</w:t>
      </w:r>
    </w:p>
    <w:bookmarkEnd w:id="9"/>
    <w:p w14:paraId="5B8B4271" w14:textId="77777777" w:rsidR="000A530B" w:rsidRDefault="00000000">
      <w:pPr>
        <w:pStyle w:val="ListParagraph"/>
        <w:numPr>
          <w:ilvl w:val="0"/>
          <w:numId w:val="2"/>
        </w:numPr>
        <w:spacing w:after="100" w:line="248" w:lineRule="auto"/>
      </w:pPr>
      <w:r>
        <w:rPr>
          <w:sz w:val="18"/>
          <w:szCs w:val="18"/>
        </w:rPr>
        <w:t xml:space="preserve">Balaji et al., </w:t>
      </w:r>
      <w:hyperlink r:id="rId18" w:history="1">
        <w:r w:rsidR="000A530B">
          <w:rPr>
            <w:color w:val="2B4C8C"/>
            <w:sz w:val="18"/>
            <w:szCs w:val="18"/>
            <w:u w:val="single"/>
          </w:rPr>
          <w:t>“Grounding and Evaluation for Large Language Models: Practical Challenges and Lessons Learned”</w:t>
        </w:r>
      </w:hyperlink>
      <w:r>
        <w:rPr>
          <w:sz w:val="18"/>
          <w:szCs w:val="18"/>
        </w:rPr>
        <w:t xml:space="preserve"> (survey), arXiv:2407.12858 (2024).</w:t>
      </w:r>
    </w:p>
    <w:bookmarkEnd w:id="8"/>
    <w:p w14:paraId="0880CAE9" w14:textId="77777777" w:rsidR="000A530B" w:rsidRDefault="00000000">
      <w:pPr>
        <w:pStyle w:val="ListParagraph"/>
        <w:numPr>
          <w:ilvl w:val="0"/>
          <w:numId w:val="2"/>
        </w:numPr>
        <w:spacing w:after="100" w:line="248" w:lineRule="auto"/>
      </w:pPr>
      <w:r>
        <w:rPr>
          <w:sz w:val="18"/>
          <w:szCs w:val="18"/>
        </w:rPr>
        <w:t xml:space="preserve">Consortium for Service Innovation, </w:t>
      </w:r>
      <w:hyperlink r:id="rId19" w:history="1">
        <w:r w:rsidR="000A530B">
          <w:rPr>
            <w:color w:val="2B4C8C"/>
            <w:sz w:val="18"/>
            <w:szCs w:val="18"/>
            <w:u w:val="single"/>
          </w:rPr>
          <w:t>Knowledge-Centered Service (KCS®)</w:t>
        </w:r>
      </w:hyperlink>
      <w:r>
        <w:rPr>
          <w:sz w:val="18"/>
          <w:szCs w:val="18"/>
        </w:rPr>
        <w:t xml:space="preserve"> — Solve Loop and Evolve Loop, demand-driven principle; on the 2026 rebrand to “Knowledge-Centered Success,” see this </w:t>
      </w:r>
      <w:hyperlink r:id="rId20" w:history="1">
        <w:r w:rsidR="000A530B">
          <w:rPr>
            <w:color w:val="2B4C8C"/>
            <w:sz w:val="18"/>
            <w:szCs w:val="18"/>
            <w:u w:val="single"/>
          </w:rPr>
          <w:t>framework guide</w:t>
        </w:r>
      </w:hyperlink>
      <w:r>
        <w:rPr>
          <w:sz w:val="18"/>
          <w:szCs w:val="18"/>
        </w:rPr>
        <w:t>.</w:t>
      </w:r>
    </w:p>
    <w:bookmarkEnd w:id="7"/>
    <w:p w14:paraId="4FF508A9" w14:textId="77777777" w:rsidR="000A530B" w:rsidRDefault="00000000">
      <w:pPr>
        <w:pStyle w:val="ListParagraph"/>
        <w:numPr>
          <w:ilvl w:val="0"/>
          <w:numId w:val="2"/>
        </w:numPr>
        <w:spacing w:after="100" w:line="248" w:lineRule="auto"/>
      </w:pPr>
      <w:proofErr w:type="spellStart"/>
      <w:r>
        <w:rPr>
          <w:sz w:val="18"/>
          <w:szCs w:val="18"/>
        </w:rPr>
        <w:t>eGain</w:t>
      </w:r>
      <w:proofErr w:type="spellEnd"/>
      <w:r>
        <w:rPr>
          <w:sz w:val="18"/>
          <w:szCs w:val="18"/>
        </w:rPr>
        <w:t xml:space="preserve">, </w:t>
      </w:r>
      <w:hyperlink r:id="rId21" w:history="1">
        <w:r w:rsidR="000A530B">
          <w:rPr>
            <w:color w:val="2B4C8C"/>
            <w:sz w:val="18"/>
            <w:szCs w:val="18"/>
            <w:u w:val="single"/>
          </w:rPr>
          <w:t>KCS-verified AI Knowledge Hub</w:t>
        </w:r>
      </w:hyperlink>
      <w:r>
        <w:rPr>
          <w:sz w:val="18"/>
          <w:szCs w:val="18"/>
        </w:rPr>
        <w:t xml:space="preserve"> and </w:t>
      </w:r>
      <w:hyperlink r:id="rId22" w:history="1">
        <w:r w:rsidR="000A530B">
          <w:rPr>
            <w:color w:val="2B4C8C"/>
            <w:sz w:val="18"/>
            <w:szCs w:val="18"/>
            <w:u w:val="single"/>
          </w:rPr>
          <w:t>governed-knowledge connectors / Evaluator</w:t>
        </w:r>
      </w:hyperlink>
      <w:r>
        <w:rPr>
          <w:sz w:val="18"/>
          <w:szCs w:val="18"/>
        </w:rPr>
        <w:t xml:space="preserve"> (2026).</w:t>
      </w:r>
    </w:p>
    <w:bookmarkEnd w:id="6"/>
    <w:p w14:paraId="065A2832" w14:textId="77777777" w:rsidR="000A530B" w:rsidRDefault="00000000">
      <w:pPr>
        <w:pStyle w:val="ListParagraph"/>
        <w:numPr>
          <w:ilvl w:val="0"/>
          <w:numId w:val="2"/>
        </w:numPr>
        <w:spacing w:after="100" w:line="248" w:lineRule="auto"/>
      </w:pPr>
      <w:r>
        <w:rPr>
          <w:sz w:val="18"/>
          <w:szCs w:val="18"/>
        </w:rPr>
        <w:t xml:space="preserve">The Permanente Medical Group, </w:t>
      </w:r>
      <w:hyperlink r:id="rId23" w:history="1">
        <w:r w:rsidR="000A530B">
          <w:rPr>
            <w:color w:val="2B4C8C"/>
            <w:sz w:val="18"/>
            <w:szCs w:val="18"/>
            <w:u w:val="single"/>
          </w:rPr>
          <w:t>NEJM Catalyst</w:t>
        </w:r>
      </w:hyperlink>
      <w:r>
        <w:rPr>
          <w:sz w:val="18"/>
          <w:szCs w:val="18"/>
        </w:rPr>
        <w:t xml:space="preserve"> on ambient AI scribe deployment; on reproducibility limits see this </w:t>
      </w:r>
      <w:hyperlink r:id="rId24" w:history="1">
        <w:r w:rsidR="000A530B">
          <w:rPr>
            <w:color w:val="2B4C8C"/>
            <w:sz w:val="18"/>
            <w:szCs w:val="18"/>
            <w:u w:val="single"/>
          </w:rPr>
          <w:t>narrative review</w:t>
        </w:r>
      </w:hyperlink>
      <w:r>
        <w:rPr>
          <w:sz w:val="18"/>
          <w:szCs w:val="18"/>
        </w:rPr>
        <w:t xml:space="preserve"> and </w:t>
      </w:r>
      <w:hyperlink r:id="rId25" w:history="1">
        <w:r w:rsidR="000A530B">
          <w:rPr>
            <w:color w:val="2B4C8C"/>
            <w:sz w:val="18"/>
            <w:szCs w:val="18"/>
            <w:u w:val="single"/>
          </w:rPr>
          <w:t>JMIR Medical Informatics</w:t>
        </w:r>
      </w:hyperlink>
      <w:r>
        <w:rPr>
          <w:sz w:val="18"/>
          <w:szCs w:val="18"/>
        </w:rPr>
        <w:t xml:space="preserve"> (2025).</w:t>
      </w:r>
    </w:p>
    <w:bookmarkEnd w:id="5"/>
    <w:p w14:paraId="4BC4AFC0" w14:textId="77777777" w:rsidR="000A530B" w:rsidRDefault="00000000">
      <w:pPr>
        <w:pStyle w:val="ListParagraph"/>
        <w:numPr>
          <w:ilvl w:val="0"/>
          <w:numId w:val="2"/>
        </w:numPr>
        <w:spacing w:after="100" w:line="248" w:lineRule="auto"/>
      </w:pPr>
      <w:r>
        <w:rPr>
          <w:sz w:val="18"/>
          <w:szCs w:val="18"/>
        </w:rPr>
        <w:lastRenderedPageBreak/>
        <w:t xml:space="preserve">PTC / </w:t>
      </w:r>
      <w:proofErr w:type="spellStart"/>
      <w:r>
        <w:rPr>
          <w:sz w:val="18"/>
          <w:szCs w:val="18"/>
        </w:rPr>
        <w:t>ServiceMax</w:t>
      </w:r>
      <w:proofErr w:type="spellEnd"/>
      <w:r>
        <w:rPr>
          <w:sz w:val="18"/>
          <w:szCs w:val="18"/>
        </w:rPr>
        <w:t xml:space="preserve">, </w:t>
      </w:r>
      <w:hyperlink r:id="rId26" w:history="1">
        <w:r w:rsidR="000A530B">
          <w:rPr>
            <w:color w:val="2B4C8C"/>
            <w:sz w:val="18"/>
            <w:szCs w:val="18"/>
            <w:u w:val="single"/>
          </w:rPr>
          <w:t>“What is First-Time Fix Rate?”</w:t>
        </w:r>
      </w:hyperlink>
      <w:r>
        <w:rPr>
          <w:sz w:val="18"/>
          <w:szCs w:val="18"/>
        </w:rPr>
        <w:t xml:space="preserve"> (truck-roll cost $200–300; ~1.6 additional dispatches; best-in-class FTF ~88%).</w:t>
      </w:r>
    </w:p>
    <w:bookmarkEnd w:id="4"/>
    <w:p w14:paraId="53972B52" w14:textId="77777777" w:rsidR="000A530B" w:rsidRDefault="00000000">
      <w:pPr>
        <w:pStyle w:val="ListParagraph"/>
        <w:numPr>
          <w:ilvl w:val="0"/>
          <w:numId w:val="2"/>
        </w:numPr>
        <w:spacing w:after="100" w:line="248" w:lineRule="auto"/>
      </w:pPr>
      <w:proofErr w:type="spellStart"/>
      <w:r>
        <w:rPr>
          <w:sz w:val="18"/>
          <w:szCs w:val="18"/>
        </w:rPr>
        <w:t>Aquant</w:t>
      </w:r>
      <w:proofErr w:type="spellEnd"/>
      <w:r>
        <w:rPr>
          <w:sz w:val="18"/>
          <w:szCs w:val="18"/>
        </w:rPr>
        <w:t xml:space="preserve">, </w:t>
      </w:r>
      <w:hyperlink r:id="rId27" w:history="1">
        <w:r w:rsidR="000A530B">
          <w:rPr>
            <w:color w:val="2B4C8C"/>
            <w:sz w:val="18"/>
            <w:szCs w:val="18"/>
            <w:u w:val="single"/>
          </w:rPr>
          <w:t>2026 Field Service Benchmark</w:t>
        </w:r>
      </w:hyperlink>
      <w:r>
        <w:rPr>
          <w:sz w:val="18"/>
          <w:szCs w:val="18"/>
        </w:rPr>
        <w:t xml:space="preserve"> (FTF 77%/88%/60%; MTTR 4.5 days; up to 26% cost savings; ~14% of truck rolls avoidable).</w:t>
      </w:r>
    </w:p>
    <w:bookmarkEnd w:id="3"/>
    <w:p w14:paraId="6965C912" w14:textId="77777777" w:rsidR="000A530B" w:rsidRDefault="00000000">
      <w:pPr>
        <w:pStyle w:val="ListParagraph"/>
        <w:numPr>
          <w:ilvl w:val="0"/>
          <w:numId w:val="2"/>
        </w:numPr>
        <w:spacing w:after="100" w:line="248" w:lineRule="auto"/>
      </w:pPr>
      <w:r>
        <w:rPr>
          <w:sz w:val="18"/>
          <w:szCs w:val="18"/>
        </w:rPr>
        <w:t xml:space="preserve">“The digital workforce is here. The governance isn’t,” </w:t>
      </w:r>
      <w:hyperlink r:id="rId28" w:history="1">
        <w:r w:rsidR="000A530B">
          <w:rPr>
            <w:color w:val="2B4C8C"/>
            <w:sz w:val="18"/>
            <w:szCs w:val="18"/>
            <w:u w:val="single"/>
          </w:rPr>
          <w:t>Next Futures (Substack)</w:t>
        </w:r>
      </w:hyperlink>
      <w:r>
        <w:rPr>
          <w:sz w:val="18"/>
          <w:szCs w:val="18"/>
        </w:rPr>
        <w:t xml:space="preserve"> (2026).</w:t>
      </w:r>
    </w:p>
    <w:bookmarkEnd w:id="2"/>
    <w:p w14:paraId="00DFA10B" w14:textId="77777777" w:rsidR="000A530B" w:rsidRDefault="00000000">
      <w:pPr>
        <w:pStyle w:val="ListParagraph"/>
        <w:numPr>
          <w:ilvl w:val="0"/>
          <w:numId w:val="2"/>
        </w:numPr>
        <w:spacing w:after="100" w:line="248" w:lineRule="auto"/>
      </w:pPr>
      <w:r>
        <w:rPr>
          <w:sz w:val="18"/>
          <w:szCs w:val="18"/>
        </w:rPr>
        <w:t xml:space="preserve">M. Polanyi, </w:t>
      </w:r>
      <w:r>
        <w:rPr>
          <w:i/>
          <w:iCs/>
          <w:sz w:val="18"/>
          <w:szCs w:val="18"/>
        </w:rPr>
        <w:t>The Tacit Dimension</w:t>
      </w:r>
      <w:r>
        <w:rPr>
          <w:sz w:val="18"/>
          <w:szCs w:val="18"/>
        </w:rPr>
        <w:t xml:space="preserve"> (1966); I. Nonaka, “A Dynamic Theory of Organizational Knowledge Creation,” </w:t>
      </w:r>
      <w:r>
        <w:rPr>
          <w:i/>
          <w:iCs/>
          <w:sz w:val="18"/>
          <w:szCs w:val="18"/>
        </w:rPr>
        <w:t>Organization Science</w:t>
      </w:r>
      <w:r>
        <w:rPr>
          <w:sz w:val="18"/>
          <w:szCs w:val="18"/>
        </w:rPr>
        <w:t xml:space="preserve"> 5(1) (1994); Nonaka &amp; Takeuchi, </w:t>
      </w:r>
      <w:r>
        <w:rPr>
          <w:i/>
          <w:iCs/>
          <w:sz w:val="18"/>
          <w:szCs w:val="18"/>
        </w:rPr>
        <w:t>The Knowledge-Creating Company</w:t>
      </w:r>
      <w:r>
        <w:rPr>
          <w:sz w:val="18"/>
          <w:szCs w:val="18"/>
        </w:rPr>
        <w:t xml:space="preserve"> (1995).</w:t>
      </w:r>
    </w:p>
    <w:bookmarkEnd w:id="1"/>
    <w:p w14:paraId="1E31CCE2" w14:textId="77777777" w:rsidR="000A530B" w:rsidRDefault="00000000">
      <w:pPr>
        <w:pStyle w:val="ListParagraph"/>
        <w:numPr>
          <w:ilvl w:val="0"/>
          <w:numId w:val="2"/>
        </w:numPr>
        <w:spacing w:after="100" w:line="248" w:lineRule="auto"/>
      </w:pPr>
      <w:r>
        <w:rPr>
          <w:sz w:val="18"/>
          <w:szCs w:val="18"/>
        </w:rPr>
        <w:t xml:space="preserve">M. Fowler, </w:t>
      </w:r>
      <w:r>
        <w:rPr>
          <w:i/>
          <w:iCs/>
          <w:sz w:val="18"/>
          <w:szCs w:val="18"/>
        </w:rPr>
        <w:t>Refactoring</w:t>
      </w:r>
      <w:r>
        <w:rPr>
          <w:sz w:val="18"/>
          <w:szCs w:val="18"/>
        </w:rPr>
        <w:t xml:space="preserve"> — the “Rule of Three” for tolerating duplication before codifying; cf. the DRY principle.</w:t>
      </w:r>
    </w:p>
    <w:bookmarkEnd w:id="0"/>
    <w:p w14:paraId="778DC22E" w14:textId="77777777" w:rsidR="000A530B" w:rsidRDefault="00000000">
      <w:pPr>
        <w:pStyle w:val="ListParagraph"/>
        <w:numPr>
          <w:ilvl w:val="0"/>
          <w:numId w:val="2"/>
        </w:numPr>
        <w:spacing w:after="100" w:line="248" w:lineRule="auto"/>
      </w:pPr>
      <w:r>
        <w:rPr>
          <w:sz w:val="18"/>
          <w:szCs w:val="18"/>
        </w:rPr>
        <w:t xml:space="preserve">D. Carnegie, </w:t>
      </w:r>
      <w:r>
        <w:rPr>
          <w:i/>
          <w:iCs/>
          <w:sz w:val="18"/>
          <w:szCs w:val="18"/>
        </w:rPr>
        <w:t>How to Stop Worrying and Start Living</w:t>
      </w:r>
      <w:r>
        <w:rPr>
          <w:sz w:val="18"/>
          <w:szCs w:val="18"/>
        </w:rPr>
        <w:t xml:space="preserve"> (1948), p. 112 — H. P. Howell’s end-of-day self-examination. Full text </w:t>
      </w:r>
      <w:hyperlink r:id="rId29" w:history="1">
        <w:r w:rsidR="000A530B">
          <w:rPr>
            <w:color w:val="2B4C8C"/>
            <w:sz w:val="18"/>
            <w:szCs w:val="18"/>
            <w:u w:val="single"/>
          </w:rPr>
          <w:t>available here</w:t>
        </w:r>
      </w:hyperlink>
      <w:r>
        <w:rPr>
          <w:sz w:val="18"/>
          <w:szCs w:val="18"/>
        </w:rPr>
        <w:t>.</w:t>
      </w:r>
    </w:p>
    <w:p w14:paraId="145F6061" w14:textId="77777777" w:rsidR="000A530B" w:rsidRDefault="00000000">
      <w:pPr>
        <w:spacing w:before="200"/>
      </w:pPr>
      <w:r>
        <w:rPr>
          <w:i/>
          <w:iCs/>
          <w:color w:val="6C757D"/>
          <w:sz w:val="18"/>
          <w:szCs w:val="18"/>
        </w:rPr>
        <w:t>Vendor descriptions reflect publicly available materials at time of writing and are provided for orientation only, without endorsement. Verify current capabilities and pricing directly with each vendor.</w:t>
      </w:r>
    </w:p>
    <w:sectPr w:rsidR="000A530B">
      <w:headerReference w:type="default" r:id="rId30"/>
      <w:footerReference w:type="default" r:id="rId31"/>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FEE6D" w14:textId="77777777" w:rsidR="002B7D01" w:rsidRDefault="002B7D01">
      <w:r>
        <w:separator/>
      </w:r>
    </w:p>
  </w:endnote>
  <w:endnote w:type="continuationSeparator" w:id="0">
    <w:p w14:paraId="5978EDDF" w14:textId="77777777" w:rsidR="002B7D01" w:rsidRDefault="002B7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17D21" w14:textId="77777777" w:rsidR="000A530B" w:rsidRDefault="00000000">
    <w:pPr>
      <w:pBdr>
        <w:top w:val="single" w:sz="4" w:space="6" w:color="E3E8EF"/>
      </w:pBdr>
      <w:tabs>
        <w:tab w:val="right" w:pos="9360"/>
      </w:tabs>
    </w:pPr>
    <w:proofErr w:type="gramStart"/>
    <w:r>
      <w:rPr>
        <w:color w:val="6C757D"/>
        <w:sz w:val="17"/>
        <w:szCs w:val="17"/>
      </w:rPr>
      <w:t>bluecadence.tech</w:t>
    </w:r>
    <w:proofErr w:type="gramEnd"/>
    <w:r>
      <w:tab/>
    </w:r>
    <w:r>
      <w:rPr>
        <w:color w:val="6C757D"/>
        <w:sz w:val="17"/>
        <w:szCs w:val="17"/>
      </w:rPr>
      <w:t xml:space="preserve">Page </w:t>
    </w:r>
    <w:r>
      <w:rPr>
        <w:color w:val="6C757D"/>
        <w:sz w:val="17"/>
        <w:szCs w:val="17"/>
      </w:rPr>
      <w:fldChar w:fldCharType="begin"/>
    </w:r>
    <w:r>
      <w:rPr>
        <w:color w:val="6C757D"/>
        <w:sz w:val="17"/>
        <w:szCs w:val="17"/>
      </w:rPr>
      <w:instrText>PAGE</w:instrText>
    </w:r>
    <w:r>
      <w:rPr>
        <w:color w:val="6C757D"/>
        <w:sz w:val="17"/>
        <w:szCs w:val="17"/>
      </w:rPr>
      <w:fldChar w:fldCharType="separate"/>
    </w:r>
    <w:r w:rsidR="00360DBB">
      <w:rPr>
        <w:noProof/>
        <w:color w:val="6C757D"/>
        <w:sz w:val="17"/>
        <w:szCs w:val="17"/>
      </w:rPr>
      <w:t>2</w:t>
    </w:r>
    <w:r>
      <w:rPr>
        <w:color w:val="6C757D"/>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29997" w14:textId="77777777" w:rsidR="002B7D01" w:rsidRDefault="002B7D01">
      <w:r>
        <w:separator/>
      </w:r>
    </w:p>
  </w:footnote>
  <w:footnote w:type="continuationSeparator" w:id="0">
    <w:p w14:paraId="2041BB8A" w14:textId="77777777" w:rsidR="002B7D01" w:rsidRDefault="002B7D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94D84" w14:textId="77777777" w:rsidR="000A530B" w:rsidRDefault="00000000">
    <w:pPr>
      <w:pBdr>
        <w:bottom w:val="single" w:sz="4" w:space="6" w:color="E3E8EF"/>
      </w:pBdr>
      <w:tabs>
        <w:tab w:val="right" w:pos="9360"/>
      </w:tabs>
    </w:pPr>
    <w:r>
      <w:rPr>
        <w:rFonts w:ascii="Georgia" w:eastAsia="Georgia" w:hAnsi="Georgia" w:cs="Georgia"/>
        <w:color w:val="6C757D"/>
        <w:sz w:val="17"/>
        <w:szCs w:val="17"/>
      </w:rPr>
      <w:t>Building a Knowledge Spine</w:t>
    </w:r>
    <w:r>
      <w:rPr>
        <w:color w:val="6C757D"/>
        <w:sz w:val="17"/>
        <w:szCs w:val="17"/>
      </w:rPr>
      <w:tab/>
      <w:t>Blue Cadence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862498"/>
    <w:multiLevelType w:val="hybridMultilevel"/>
    <w:tmpl w:val="190EB824"/>
    <w:lvl w:ilvl="0" w:tplc="DCE25B70">
      <w:start w:val="1"/>
      <w:numFmt w:val="bullet"/>
      <w:lvlText w:val="●"/>
      <w:lvlJc w:val="left"/>
      <w:pPr>
        <w:ind w:left="720" w:hanging="360"/>
      </w:pPr>
    </w:lvl>
    <w:lvl w:ilvl="1" w:tplc="581CAE5C">
      <w:start w:val="1"/>
      <w:numFmt w:val="bullet"/>
      <w:lvlText w:val="○"/>
      <w:lvlJc w:val="left"/>
      <w:pPr>
        <w:ind w:left="1440" w:hanging="360"/>
      </w:pPr>
    </w:lvl>
    <w:lvl w:ilvl="2" w:tplc="928E0046">
      <w:start w:val="1"/>
      <w:numFmt w:val="bullet"/>
      <w:lvlText w:val="■"/>
      <w:lvlJc w:val="left"/>
      <w:pPr>
        <w:ind w:left="2160" w:hanging="360"/>
      </w:pPr>
    </w:lvl>
    <w:lvl w:ilvl="3" w:tplc="C68C9794">
      <w:start w:val="1"/>
      <w:numFmt w:val="bullet"/>
      <w:lvlText w:val="●"/>
      <w:lvlJc w:val="left"/>
      <w:pPr>
        <w:ind w:left="2880" w:hanging="360"/>
      </w:pPr>
    </w:lvl>
    <w:lvl w:ilvl="4" w:tplc="917A7B82">
      <w:start w:val="1"/>
      <w:numFmt w:val="bullet"/>
      <w:lvlText w:val="○"/>
      <w:lvlJc w:val="left"/>
      <w:pPr>
        <w:ind w:left="3600" w:hanging="360"/>
      </w:pPr>
    </w:lvl>
    <w:lvl w:ilvl="5" w:tplc="B78866C0">
      <w:start w:val="1"/>
      <w:numFmt w:val="bullet"/>
      <w:lvlText w:val="■"/>
      <w:lvlJc w:val="left"/>
      <w:pPr>
        <w:ind w:left="4320" w:hanging="360"/>
      </w:pPr>
    </w:lvl>
    <w:lvl w:ilvl="6" w:tplc="4F82B210">
      <w:start w:val="1"/>
      <w:numFmt w:val="bullet"/>
      <w:lvlText w:val="●"/>
      <w:lvlJc w:val="left"/>
      <w:pPr>
        <w:ind w:left="5040" w:hanging="360"/>
      </w:pPr>
    </w:lvl>
    <w:lvl w:ilvl="7" w:tplc="B08808DA">
      <w:start w:val="1"/>
      <w:numFmt w:val="bullet"/>
      <w:lvlText w:val="●"/>
      <w:lvlJc w:val="left"/>
      <w:pPr>
        <w:ind w:left="5760" w:hanging="360"/>
      </w:pPr>
    </w:lvl>
    <w:lvl w:ilvl="8" w:tplc="DFEE4EFA">
      <w:start w:val="1"/>
      <w:numFmt w:val="bullet"/>
      <w:lvlText w:val="●"/>
      <w:lvlJc w:val="left"/>
      <w:pPr>
        <w:ind w:left="6480" w:hanging="360"/>
      </w:pPr>
    </w:lvl>
  </w:abstractNum>
  <w:abstractNum w:abstractNumId="1" w15:restartNumberingAfterBreak="0">
    <w:nsid w:val="63D64AC0"/>
    <w:multiLevelType w:val="hybridMultilevel"/>
    <w:tmpl w:val="C394C086"/>
    <w:lvl w:ilvl="0" w:tplc="6D62B3C6">
      <w:start w:val="1"/>
      <w:numFmt w:val="decimal"/>
      <w:lvlText w:val="%1."/>
      <w:lvlJc w:val="left"/>
      <w:pPr>
        <w:ind w:left="460" w:hanging="360"/>
      </w:pPr>
    </w:lvl>
    <w:lvl w:ilvl="1" w:tplc="530EBC80">
      <w:numFmt w:val="decimal"/>
      <w:lvlText w:val=""/>
      <w:lvlJc w:val="left"/>
    </w:lvl>
    <w:lvl w:ilvl="2" w:tplc="010CA9E4">
      <w:numFmt w:val="decimal"/>
      <w:lvlText w:val=""/>
      <w:lvlJc w:val="left"/>
    </w:lvl>
    <w:lvl w:ilvl="3" w:tplc="41CCBCF8">
      <w:numFmt w:val="decimal"/>
      <w:lvlText w:val=""/>
      <w:lvlJc w:val="left"/>
    </w:lvl>
    <w:lvl w:ilvl="4" w:tplc="FB08F6AA">
      <w:numFmt w:val="decimal"/>
      <w:lvlText w:val=""/>
      <w:lvlJc w:val="left"/>
    </w:lvl>
    <w:lvl w:ilvl="5" w:tplc="87D0B658">
      <w:numFmt w:val="decimal"/>
      <w:lvlText w:val=""/>
      <w:lvlJc w:val="left"/>
    </w:lvl>
    <w:lvl w:ilvl="6" w:tplc="CA8CFF8C">
      <w:numFmt w:val="decimal"/>
      <w:lvlText w:val=""/>
      <w:lvlJc w:val="left"/>
    </w:lvl>
    <w:lvl w:ilvl="7" w:tplc="613816D6">
      <w:numFmt w:val="decimal"/>
      <w:lvlText w:val=""/>
      <w:lvlJc w:val="left"/>
    </w:lvl>
    <w:lvl w:ilvl="8" w:tplc="4CD4F572">
      <w:numFmt w:val="decimal"/>
      <w:lvlText w:val=""/>
      <w:lvlJc w:val="left"/>
    </w:lvl>
  </w:abstractNum>
  <w:num w:numId="1" w16cid:durableId="376977513">
    <w:abstractNumId w:val="0"/>
    <w:lvlOverride w:ilvl="0">
      <w:startOverride w:val="1"/>
    </w:lvlOverride>
  </w:num>
  <w:num w:numId="2" w16cid:durableId="184589693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30B"/>
    <w:rsid w:val="00070D9A"/>
    <w:rsid w:val="000A530B"/>
    <w:rsid w:val="00240C08"/>
    <w:rsid w:val="00290071"/>
    <w:rsid w:val="002B7D01"/>
    <w:rsid w:val="00360DBB"/>
    <w:rsid w:val="004B3F68"/>
    <w:rsid w:val="00797721"/>
    <w:rsid w:val="008835EB"/>
    <w:rsid w:val="00964F99"/>
    <w:rsid w:val="00EC7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DA2DB"/>
  <w15:docId w15:val="{B8668EA3-64D6-4716-A41C-DF4968B7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C3E50"/>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40"/>
      <w:outlineLvl w:val="0"/>
    </w:pPr>
    <w:rPr>
      <w:rFonts w:ascii="Georgia" w:eastAsia="Georgia" w:hAnsi="Georgia" w:cs="Georgia"/>
      <w:b/>
      <w:bCs/>
      <w:color w:val="1E3A5F"/>
      <w:sz w:val="30"/>
      <w:szCs w:val="30"/>
    </w:rPr>
  </w:style>
  <w:style w:type="paragraph" w:styleId="Heading2">
    <w:name w:val="heading 2"/>
    <w:uiPriority w:val="9"/>
    <w:unhideWhenUsed/>
    <w:qFormat/>
    <w:pPr>
      <w:spacing w:before="220" w:after="80"/>
      <w:outlineLvl w:val="1"/>
    </w:pPr>
    <w:rPr>
      <w:rFonts w:ascii="Georgia" w:eastAsia="Georgia" w:hAnsi="Georgia" w:cs="Georgia"/>
      <w:b/>
      <w:bCs/>
      <w:color w:val="2B4C8C"/>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360DBB"/>
    <w:pPr>
      <w:tabs>
        <w:tab w:val="center" w:pos="4680"/>
        <w:tab w:val="right" w:pos="9360"/>
      </w:tabs>
    </w:pPr>
  </w:style>
  <w:style w:type="character" w:customStyle="1" w:styleId="HeaderChar">
    <w:name w:val="Header Char"/>
    <w:basedOn w:val="DefaultParagraphFont"/>
    <w:link w:val="Header"/>
    <w:uiPriority w:val="99"/>
    <w:rsid w:val="00360DBB"/>
  </w:style>
  <w:style w:type="paragraph" w:styleId="Footer">
    <w:name w:val="footer"/>
    <w:basedOn w:val="Normal"/>
    <w:link w:val="FooterChar"/>
    <w:uiPriority w:val="99"/>
    <w:unhideWhenUsed/>
    <w:rsid w:val="00360DBB"/>
    <w:pPr>
      <w:tabs>
        <w:tab w:val="center" w:pos="4680"/>
        <w:tab w:val="right" w:pos="9360"/>
      </w:tabs>
    </w:pPr>
  </w:style>
  <w:style w:type="character" w:customStyle="1" w:styleId="FooterChar">
    <w:name w:val="Footer Char"/>
    <w:basedOn w:val="DefaultParagraphFont"/>
    <w:link w:val="Footer"/>
    <w:uiPriority w:val="99"/>
    <w:rsid w:val="00360D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echnologyreview.com/2026/05/26/1137584/rethinking-organizational-design-in-the-age-of-agentic-ai/" TargetMode="External"/><Relationship Id="rId18" Type="http://schemas.openxmlformats.org/officeDocument/2006/relationships/hyperlink" Target="https://arxiv.org/abs/2407.12858" TargetMode="External"/><Relationship Id="rId26" Type="http://schemas.openxmlformats.org/officeDocument/2006/relationships/hyperlink" Target="https://www.ptc.com/en/blogs/service/what-is-first-time-fix-rate" TargetMode="External"/><Relationship Id="rId3" Type="http://schemas.openxmlformats.org/officeDocument/2006/relationships/settings" Target="settings.xml"/><Relationship Id="rId21" Type="http://schemas.openxmlformats.org/officeDocument/2006/relationships/hyperlink" Target="https://www.egain.com/blog/egain-ai-knowledge-hub-transforming-enterprise-knowledge-management-with-kcs-verification/" TargetMode="External"/><Relationship Id="rId7" Type="http://schemas.openxmlformats.org/officeDocument/2006/relationships/hyperlink" Target="https://bluecadence.tech" TargetMode="External"/><Relationship Id="rId12" Type="http://schemas.openxmlformats.org/officeDocument/2006/relationships/hyperlink" Target="https://www.technologyreview.com/2026/04/16/1135554/treating-enterprise-ai-as-an-operating-layer/" TargetMode="External"/><Relationship Id="rId17" Type="http://schemas.openxmlformats.org/officeDocument/2006/relationships/hyperlink" Target="https://arxiv.org/abs/2005.11401" TargetMode="External"/><Relationship Id="rId25" Type="http://schemas.openxmlformats.org/officeDocument/2006/relationships/hyperlink" Target="https://medinform.jmir.org/2025/1/e80898"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1146/annurev-psych-113011-143750" TargetMode="External"/><Relationship Id="rId20" Type="http://schemas.openxmlformats.org/officeDocument/2006/relationships/hyperlink" Target="https://knowledge-base.software/guides/knowledge-centered-service-kcs-framework/" TargetMode="External"/><Relationship Id="rId29" Type="http://schemas.openxmlformats.org/officeDocument/2006/relationships/hyperlink" Target="https://archive.org/details/in.ernet.dli.2015.18825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echnologyreview.com/2026/01/20/1130911/the-era-of-agentic-chaos-and-how-data-will-save-us/" TargetMode="External"/><Relationship Id="rId24" Type="http://schemas.openxmlformats.org/officeDocument/2006/relationships/hyperlink" Target="https://pmc.ncbi.nlm.nih.gov/articles/PMC12973079/"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1177/0018720812448394" TargetMode="External"/><Relationship Id="rId23" Type="http://schemas.openxmlformats.org/officeDocument/2006/relationships/hyperlink" Target="https://catalyst.nejm.org/doi/full/10.1056/CAT.23.0404" TargetMode="External"/><Relationship Id="rId28" Type="http://schemas.openxmlformats.org/officeDocument/2006/relationships/hyperlink" Target="https://nextfutures.substack.com/p/the-digital-workforce-is-here-the" TargetMode="External"/><Relationship Id="rId10" Type="http://schemas.openxmlformats.org/officeDocument/2006/relationships/hyperlink" Target="https://www.technologyreview.com/2026/04/22/1135295/ai-needs-a-strong-data-fabric-to-deliver-business-value/" TargetMode="External"/><Relationship Id="rId19" Type="http://schemas.openxmlformats.org/officeDocument/2006/relationships/hyperlink" Target="https://www.serviceinnovation.org/kcs/"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technologyreview.com/2026/03/10/1134083/building-a-strong-data-infrastructure-for-ai-agent-success/" TargetMode="External"/><Relationship Id="rId14" Type="http://schemas.openxmlformats.org/officeDocument/2006/relationships/hyperlink" Target="https://hbr.org/2017/01/kick-ass-customer-service" TargetMode="External"/><Relationship Id="rId22" Type="http://schemas.openxmlformats.org/officeDocument/2006/relationships/hyperlink" Target="https://www.quiverquant.com/news/eGain+Launches+New+AI+Platform+Connectors+for+Enhanced+Knowledge+Management+Across+Microsoft+Copilot,+Anthropic+Claude,+Google+Gemini,+and+Cursor/" TargetMode="External"/><Relationship Id="rId27" Type="http://schemas.openxmlformats.org/officeDocument/2006/relationships/hyperlink" Target="https://www.aquant.ai/resources/post/aquants-2026-field-service-benchmark-companies-can-unlock-up-to-26-in-service-cost-savings-by-scaling-knowledge-across-the-workforce" TargetMode="External"/><Relationship Id="rId30" Type="http://schemas.openxmlformats.org/officeDocument/2006/relationships/header" Target="header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1478</TotalTime>
  <Pages>11</Pages>
  <Words>3982</Words>
  <Characters>22703</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Building a Knowledge Spine</vt:lpstr>
    </vt:vector>
  </TitlesOfParts>
  <Company/>
  <LinksUpToDate>false</LinksUpToDate>
  <CharactersWithSpaces>26632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a Knowledge Spine</dc:title>
  <dc:creator>Blue Cadence</dc:creator>
  <dc:description>Voice-to-text, debriefs, and AI-ready knowledge bases that actually get used.</dc:description>
  <cp:lastModifiedBy>John Tocado</cp:lastModifiedBy>
  <cp:revision>5</cp:revision>
  <dcterms:created xsi:type="dcterms:W3CDTF">2026-06-20T14:24:00Z</dcterms:created>
  <dcterms:modified xsi:type="dcterms:W3CDTF">2026-08-03T17:28:00Z</dcterms:modified>
</cp:coreProperties>
</file>